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23" w:rsidRPr="0063561E" w:rsidRDefault="00173C23" w:rsidP="005F3564">
      <w:pPr>
        <w:tabs>
          <w:tab w:val="left" w:pos="450"/>
        </w:tabs>
        <w:jc w:val="both"/>
      </w:pPr>
      <w:bookmarkStart w:id="0" w:name="_GoBack"/>
      <w:bookmarkEnd w:id="0"/>
    </w:p>
    <w:p w:rsidR="00173C23" w:rsidRDefault="00173C23" w:rsidP="00340E33">
      <w:pPr>
        <w:spacing w:after="200" w:line="276" w:lineRule="auto"/>
        <w:jc w:val="right"/>
        <w:rPr>
          <w:rFonts w:ascii="Calibri" w:hAnsi="Calibri"/>
          <w:b/>
          <w:bCs/>
          <w:i/>
          <w:noProof/>
          <w:sz w:val="22"/>
          <w:szCs w:val="22"/>
          <w:lang w:eastAsia="bg-BG"/>
        </w:rPr>
      </w:pPr>
    </w:p>
    <w:p w:rsidR="00173C23" w:rsidRDefault="00173C23" w:rsidP="000A6439">
      <w:pPr>
        <w:ind w:left="1416" w:firstLine="708"/>
        <w:rPr>
          <w:b/>
          <w:bCs/>
          <w:sz w:val="28"/>
          <w:szCs w:val="28"/>
        </w:rPr>
      </w:pPr>
    </w:p>
    <w:p w:rsidR="00173C23" w:rsidRDefault="00173C23" w:rsidP="000A6439">
      <w:pPr>
        <w:ind w:left="1416" w:firstLine="708"/>
        <w:rPr>
          <w:b/>
          <w:bCs/>
          <w:sz w:val="28"/>
          <w:szCs w:val="28"/>
        </w:rPr>
      </w:pPr>
    </w:p>
    <w:p w:rsidR="00173C23" w:rsidRPr="008934D6" w:rsidRDefault="00173C23" w:rsidP="000A6439">
      <w:pPr>
        <w:ind w:left="1416" w:firstLine="708"/>
        <w:rPr>
          <w:b/>
          <w:bCs/>
          <w:sz w:val="28"/>
          <w:szCs w:val="28"/>
          <w:lang w:val="ru-RU"/>
        </w:rPr>
      </w:pPr>
      <w:r>
        <w:rPr>
          <w:b/>
          <w:bCs/>
          <w:sz w:val="28"/>
          <w:szCs w:val="28"/>
          <w:lang w:val="bg-BG"/>
        </w:rPr>
        <w:t xml:space="preserve">       </w:t>
      </w:r>
      <w:r w:rsidRPr="008934D6">
        <w:rPr>
          <w:b/>
          <w:bCs/>
          <w:sz w:val="28"/>
          <w:szCs w:val="28"/>
          <w:lang w:val="ru-RU"/>
        </w:rPr>
        <w:t>ОБЕДИНЕНО</w:t>
      </w:r>
      <w:r>
        <w:rPr>
          <w:b/>
          <w:bCs/>
          <w:sz w:val="28"/>
          <w:szCs w:val="28"/>
          <w:lang w:val="bg-BG"/>
        </w:rPr>
        <w:t xml:space="preserve"> </w:t>
      </w:r>
      <w:r w:rsidRPr="008934D6">
        <w:rPr>
          <w:b/>
          <w:bCs/>
          <w:sz w:val="28"/>
          <w:szCs w:val="28"/>
          <w:lang w:val="ru-RU"/>
        </w:rPr>
        <w:t xml:space="preserve"> СТАНОВИЩЕ</w:t>
      </w:r>
    </w:p>
    <w:p w:rsidR="00173C23" w:rsidRPr="008934D6" w:rsidRDefault="00173C23" w:rsidP="000A6439">
      <w:pPr>
        <w:rPr>
          <w:lang w:val="ru-RU"/>
        </w:rPr>
      </w:pPr>
    </w:p>
    <w:p w:rsidR="00173C23" w:rsidRPr="008934D6" w:rsidRDefault="00173C23" w:rsidP="00834525">
      <w:pPr>
        <w:rPr>
          <w:lang w:val="ru-RU"/>
        </w:rPr>
      </w:pPr>
      <w:r w:rsidRPr="008934D6">
        <w:rPr>
          <w:lang w:val="ru-RU" w:eastAsia="bg-BG"/>
        </w:rPr>
        <w:t xml:space="preserve">на колектив от специалисти от </w:t>
      </w:r>
      <w:r>
        <w:rPr>
          <w:lang w:val="bg-BG" w:eastAsia="bg-BG"/>
        </w:rPr>
        <w:t xml:space="preserve">Български енергиен и минен форум, НПО, </w:t>
      </w:r>
      <w:r w:rsidRPr="008934D6">
        <w:rPr>
          <w:lang w:val="ru-RU" w:eastAsia="bg-BG"/>
        </w:rPr>
        <w:t>ВУЗ</w:t>
      </w:r>
      <w:r>
        <w:rPr>
          <w:lang w:val="bg-BG" w:eastAsia="bg-BG"/>
        </w:rPr>
        <w:t>, енергийни</w:t>
      </w:r>
      <w:r w:rsidRPr="008934D6">
        <w:rPr>
          <w:lang w:val="ru-RU" w:eastAsia="bg-BG"/>
        </w:rPr>
        <w:t xml:space="preserve"> и консултантски компании</w:t>
      </w:r>
      <w:r>
        <w:rPr>
          <w:lang w:val="bg-BG" w:eastAsia="bg-BG"/>
        </w:rPr>
        <w:t xml:space="preserve"> </w:t>
      </w:r>
      <w:r w:rsidRPr="008934D6">
        <w:rPr>
          <w:lang w:val="ru-RU"/>
        </w:rPr>
        <w:t xml:space="preserve">по </w:t>
      </w:r>
      <w:r w:rsidRPr="008934D6">
        <w:rPr>
          <w:lang w:val="ru-RU" w:eastAsia="bg-BG"/>
        </w:rPr>
        <w:t>Интегрирания национален план в областта на енергетиката и климата на Република България 2021–2030 г., публикуван от Министерство на енергетиката на 13.03.2020 г.</w:t>
      </w:r>
    </w:p>
    <w:p w:rsidR="00173C23" w:rsidRPr="00091769" w:rsidRDefault="00173C23" w:rsidP="000A6439">
      <w:pPr>
        <w:pStyle w:val="Default"/>
        <w:rPr>
          <w:rFonts w:ascii="Times New Roman" w:hAnsi="Times New Roman" w:cs="Times New Roman"/>
          <w:color w:val="auto"/>
          <w:lang w:val="ru-RU" w:eastAsia="bg-BG"/>
        </w:rPr>
      </w:pPr>
    </w:p>
    <w:p w:rsidR="00173C23" w:rsidRPr="00091769" w:rsidRDefault="00173C23" w:rsidP="000A6439">
      <w:pPr>
        <w:pStyle w:val="Default"/>
        <w:rPr>
          <w:rFonts w:ascii="Times New Roman" w:hAnsi="Times New Roman" w:cs="Times New Roman"/>
          <w:color w:val="auto"/>
          <w:lang w:val="ru-RU" w:eastAsia="bg-BG"/>
        </w:rPr>
      </w:pPr>
    </w:p>
    <w:p w:rsidR="00173C23" w:rsidRPr="00262004" w:rsidRDefault="00173C23" w:rsidP="000A6439">
      <w:pPr>
        <w:pStyle w:val="Default"/>
        <w:rPr>
          <w:rFonts w:ascii="Times New Roman" w:hAnsi="Times New Roman" w:cs="Times New Roman"/>
          <w:color w:val="auto"/>
          <w:lang w:eastAsia="bg-BG"/>
        </w:rPr>
      </w:pPr>
      <w:r w:rsidRPr="00262004">
        <w:rPr>
          <w:rFonts w:ascii="Times New Roman" w:hAnsi="Times New Roman" w:cs="Times New Roman"/>
          <w:color w:val="auto"/>
          <w:lang w:eastAsia="bg-BG"/>
        </w:rPr>
        <w:t>Съдържание на реферираните теми:</w:t>
      </w:r>
    </w:p>
    <w:p w:rsidR="00173C23" w:rsidRPr="00262004" w:rsidRDefault="00173C23" w:rsidP="000A6439">
      <w:pPr>
        <w:pStyle w:val="Default"/>
        <w:rPr>
          <w:rFonts w:ascii="Times New Roman" w:hAnsi="Times New Roman" w:cs="Times New Roman"/>
          <w:color w:val="auto"/>
          <w:lang w:eastAsia="bg-BG"/>
        </w:rPr>
      </w:pPr>
    </w:p>
    <w:p w:rsidR="00173C23" w:rsidRPr="00262004" w:rsidRDefault="00173C23" w:rsidP="000A6439">
      <w:pPr>
        <w:pStyle w:val="Default"/>
        <w:ind w:firstLine="708"/>
        <w:rPr>
          <w:rFonts w:ascii="Times New Roman" w:hAnsi="Times New Roman" w:cs="Times New Roman"/>
          <w:color w:val="auto"/>
          <w:lang w:eastAsia="bg-BG"/>
        </w:rPr>
      </w:pPr>
      <w:r w:rsidRPr="00262004">
        <w:rPr>
          <w:rFonts w:ascii="Times New Roman" w:hAnsi="Times New Roman" w:cs="Times New Roman"/>
          <w:color w:val="auto"/>
          <w:lang w:eastAsia="bg-BG"/>
        </w:rPr>
        <w:t>1.Общи бележки.......................................................................</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sidRPr="008934D6">
        <w:rPr>
          <w:rFonts w:ascii="Times New Roman" w:hAnsi="Times New Roman" w:cs="Times New Roman"/>
          <w:color w:val="auto"/>
          <w:lang w:val="ru-RU" w:eastAsia="bg-BG"/>
        </w:rPr>
        <w:t xml:space="preserve">........... </w:t>
      </w:r>
      <w:r w:rsidRPr="00262004">
        <w:rPr>
          <w:rFonts w:ascii="Times New Roman" w:hAnsi="Times New Roman" w:cs="Times New Roman"/>
          <w:color w:val="auto"/>
          <w:lang w:eastAsia="bg-BG"/>
        </w:rPr>
        <w:t>стр..2</w:t>
      </w:r>
    </w:p>
    <w:p w:rsidR="00173C23" w:rsidRPr="00262004" w:rsidRDefault="00173C23" w:rsidP="000A6439">
      <w:pPr>
        <w:pStyle w:val="Default"/>
        <w:ind w:firstLine="708"/>
        <w:rPr>
          <w:rFonts w:ascii="Times New Roman" w:hAnsi="Times New Roman" w:cs="Times New Roman"/>
          <w:color w:val="auto"/>
          <w:lang w:eastAsia="bg-BG"/>
        </w:rPr>
      </w:pPr>
      <w:r w:rsidRPr="00262004">
        <w:rPr>
          <w:rFonts w:ascii="Times New Roman" w:hAnsi="Times New Roman" w:cs="Times New Roman"/>
          <w:color w:val="auto"/>
          <w:lang w:eastAsia="bg-BG"/>
        </w:rPr>
        <w:t>2.Измерение „Декарбонизация”.............................................</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........................................стр.4</w:t>
      </w:r>
    </w:p>
    <w:p w:rsidR="00173C23" w:rsidRPr="00262004" w:rsidRDefault="00173C23" w:rsidP="000A6439">
      <w:pPr>
        <w:pStyle w:val="Default"/>
        <w:ind w:left="708" w:firstLine="708"/>
        <w:rPr>
          <w:rFonts w:ascii="Times New Roman" w:hAnsi="Times New Roman" w:cs="Times New Roman"/>
          <w:color w:val="auto"/>
          <w:lang w:eastAsia="bg-BG"/>
        </w:rPr>
      </w:pPr>
      <w:r w:rsidRPr="00262004">
        <w:rPr>
          <w:rFonts w:ascii="Times New Roman" w:hAnsi="Times New Roman" w:cs="Times New Roman"/>
          <w:color w:val="auto"/>
          <w:lang w:eastAsia="bg-BG"/>
        </w:rPr>
        <w:t>2.1.Производство на енергия........................................</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.............стр.4</w:t>
      </w:r>
    </w:p>
    <w:p w:rsidR="00173C23" w:rsidRPr="00262004" w:rsidRDefault="00173C23" w:rsidP="000A6439">
      <w:pPr>
        <w:pStyle w:val="Default"/>
        <w:ind w:left="1416" w:firstLine="708"/>
        <w:rPr>
          <w:rFonts w:ascii="Times New Roman" w:hAnsi="Times New Roman" w:cs="Times New Roman"/>
          <w:color w:val="auto"/>
          <w:lang w:eastAsia="bg-BG"/>
        </w:rPr>
      </w:pPr>
      <w:r w:rsidRPr="00262004">
        <w:rPr>
          <w:rFonts w:ascii="Times New Roman" w:hAnsi="Times New Roman" w:cs="Times New Roman"/>
          <w:color w:val="auto"/>
          <w:lang w:eastAsia="bg-BG"/>
        </w:rPr>
        <w:t>2.1.1.Хидроенергия...............................................</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.............стр.</w:t>
      </w:r>
      <w:r w:rsidRPr="00262004">
        <w:rPr>
          <w:rFonts w:ascii="Times New Roman" w:hAnsi="Times New Roman" w:cs="Times New Roman"/>
          <w:color w:val="auto"/>
          <w:lang w:eastAsia="bg-BG"/>
        </w:rPr>
        <w:t>4</w:t>
      </w:r>
    </w:p>
    <w:p w:rsidR="00173C23" w:rsidRPr="00262004" w:rsidRDefault="00173C23" w:rsidP="000A6439">
      <w:pPr>
        <w:pStyle w:val="Default"/>
        <w:ind w:left="1416" w:firstLine="708"/>
        <w:rPr>
          <w:rFonts w:ascii="Times New Roman" w:hAnsi="Times New Roman" w:cs="Times New Roman"/>
          <w:color w:val="auto"/>
          <w:lang w:eastAsia="bg-BG"/>
        </w:rPr>
      </w:pPr>
      <w:r w:rsidRPr="00262004">
        <w:rPr>
          <w:rFonts w:ascii="Times New Roman" w:hAnsi="Times New Roman" w:cs="Times New Roman"/>
          <w:color w:val="auto"/>
          <w:lang w:eastAsia="bg-BG"/>
        </w:rPr>
        <w:t>2.1.2.Въглищни технологии...........................</w:t>
      </w:r>
      <w:r>
        <w:rPr>
          <w:rFonts w:ascii="Times New Roman" w:hAnsi="Times New Roman" w:cs="Times New Roman"/>
          <w:color w:val="auto"/>
          <w:lang w:eastAsia="bg-BG"/>
        </w:rPr>
        <w:t>....................................................стр.6</w:t>
      </w:r>
    </w:p>
    <w:p w:rsidR="00173C23" w:rsidRPr="00262004" w:rsidRDefault="00173C23" w:rsidP="000A6439">
      <w:pPr>
        <w:pStyle w:val="Default"/>
        <w:ind w:left="1416" w:firstLine="708"/>
        <w:rPr>
          <w:rFonts w:ascii="Times New Roman" w:hAnsi="Times New Roman" w:cs="Times New Roman"/>
          <w:color w:val="auto"/>
          <w:lang w:eastAsia="bg-BG"/>
        </w:rPr>
      </w:pPr>
      <w:r w:rsidRPr="00262004">
        <w:rPr>
          <w:rFonts w:ascii="Times New Roman" w:hAnsi="Times New Roman" w:cs="Times New Roman"/>
          <w:color w:val="auto"/>
          <w:lang w:eastAsia="bg-BG"/>
        </w:rPr>
        <w:t>2.1.3.Възобновяема енергия..................................</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 xml:space="preserve">............ </w:t>
      </w:r>
      <w:r w:rsidRPr="00262004">
        <w:rPr>
          <w:rFonts w:ascii="Times New Roman" w:hAnsi="Times New Roman" w:cs="Times New Roman"/>
          <w:color w:val="auto"/>
          <w:lang w:eastAsia="bg-BG"/>
        </w:rPr>
        <w:t>с</w:t>
      </w:r>
      <w:r>
        <w:rPr>
          <w:rFonts w:ascii="Times New Roman" w:hAnsi="Times New Roman" w:cs="Times New Roman"/>
          <w:color w:val="auto"/>
          <w:lang w:eastAsia="bg-BG"/>
        </w:rPr>
        <w:t>тр.6</w:t>
      </w:r>
    </w:p>
    <w:p w:rsidR="00173C23" w:rsidRPr="00262004" w:rsidRDefault="00173C23" w:rsidP="000A6439">
      <w:pPr>
        <w:pStyle w:val="Default"/>
        <w:ind w:left="1416" w:firstLine="708"/>
        <w:rPr>
          <w:rFonts w:ascii="Times New Roman" w:hAnsi="Times New Roman" w:cs="Times New Roman"/>
          <w:color w:val="auto"/>
          <w:lang w:eastAsia="bg-BG"/>
        </w:rPr>
      </w:pPr>
      <w:r w:rsidRPr="00262004">
        <w:rPr>
          <w:rFonts w:ascii="Times New Roman" w:hAnsi="Times New Roman" w:cs="Times New Roman"/>
          <w:color w:val="auto"/>
          <w:lang w:eastAsia="bg-BG"/>
        </w:rPr>
        <w:t>2.1.4.Ядрена енергетика...................................</w:t>
      </w:r>
      <w:r>
        <w:rPr>
          <w:rFonts w:ascii="Times New Roman" w:hAnsi="Times New Roman" w:cs="Times New Roman"/>
          <w:color w:val="auto"/>
          <w:lang w:eastAsia="bg-BG"/>
        </w:rPr>
        <w:t>..................................................стр.7</w:t>
      </w:r>
    </w:p>
    <w:p w:rsidR="00173C23" w:rsidRPr="00262004" w:rsidRDefault="00173C23" w:rsidP="000A6439">
      <w:pPr>
        <w:pStyle w:val="Default"/>
        <w:ind w:left="1416" w:firstLine="708"/>
        <w:rPr>
          <w:rFonts w:ascii="Times New Roman" w:hAnsi="Times New Roman" w:cs="Times New Roman"/>
          <w:color w:val="auto"/>
          <w:lang w:eastAsia="bg-BG"/>
        </w:rPr>
      </w:pPr>
      <w:r w:rsidRPr="00262004">
        <w:rPr>
          <w:rFonts w:ascii="Times New Roman" w:hAnsi="Times New Roman" w:cs="Times New Roman"/>
          <w:color w:val="auto"/>
          <w:lang w:eastAsia="bg-BG"/>
        </w:rPr>
        <w:t>2.1.5.Енергия за отопление и охлаждане..............</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..............стр</w:t>
      </w:r>
      <w:r w:rsidRPr="00262004">
        <w:rPr>
          <w:rFonts w:ascii="Times New Roman" w:hAnsi="Times New Roman" w:cs="Times New Roman"/>
          <w:color w:val="auto"/>
          <w:lang w:eastAsia="bg-BG"/>
        </w:rPr>
        <w:t>.</w:t>
      </w:r>
      <w:r>
        <w:rPr>
          <w:rFonts w:ascii="Times New Roman" w:hAnsi="Times New Roman" w:cs="Times New Roman"/>
          <w:color w:val="auto"/>
          <w:lang w:eastAsia="bg-BG"/>
        </w:rPr>
        <w:t>8</w:t>
      </w:r>
    </w:p>
    <w:p w:rsidR="00173C23" w:rsidRPr="00262004" w:rsidRDefault="00173C23" w:rsidP="000A6439">
      <w:pPr>
        <w:pStyle w:val="Default"/>
        <w:ind w:left="708" w:firstLine="708"/>
        <w:rPr>
          <w:rFonts w:ascii="Times New Roman" w:hAnsi="Times New Roman" w:cs="Times New Roman"/>
          <w:color w:val="auto"/>
          <w:lang w:eastAsia="bg-BG"/>
        </w:rPr>
      </w:pPr>
      <w:r w:rsidRPr="00262004">
        <w:rPr>
          <w:rFonts w:ascii="Times New Roman" w:hAnsi="Times New Roman" w:cs="Times New Roman"/>
          <w:color w:val="auto"/>
          <w:lang w:eastAsia="bg-BG"/>
        </w:rPr>
        <w:t>2.2. Ключови секторни политики.....................................</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 стр.8</w:t>
      </w:r>
    </w:p>
    <w:p w:rsidR="00173C23" w:rsidRPr="00262004" w:rsidRDefault="00173C23" w:rsidP="000A6439">
      <w:pPr>
        <w:pStyle w:val="Default"/>
        <w:rPr>
          <w:rFonts w:ascii="Times New Roman" w:hAnsi="Times New Roman" w:cs="Times New Roman"/>
          <w:color w:val="auto"/>
          <w:lang w:eastAsia="bg-BG"/>
        </w:rPr>
      </w:pPr>
      <w:r w:rsidRPr="00262004">
        <w:rPr>
          <w:rFonts w:ascii="Times New Roman" w:hAnsi="Times New Roman" w:cs="Times New Roman"/>
          <w:color w:val="auto"/>
          <w:lang w:eastAsia="bg-BG"/>
        </w:rPr>
        <w:tab/>
      </w:r>
      <w:r w:rsidRPr="00262004">
        <w:rPr>
          <w:rFonts w:ascii="Times New Roman" w:hAnsi="Times New Roman" w:cs="Times New Roman"/>
          <w:color w:val="auto"/>
          <w:lang w:val="ru-RU" w:eastAsia="bg-BG"/>
        </w:rPr>
        <w:tab/>
      </w:r>
      <w:r w:rsidRPr="00262004">
        <w:rPr>
          <w:rFonts w:ascii="Times New Roman" w:hAnsi="Times New Roman" w:cs="Times New Roman"/>
          <w:color w:val="auto"/>
          <w:lang w:val="ru-RU" w:eastAsia="bg-BG"/>
        </w:rPr>
        <w:tab/>
      </w:r>
      <w:r w:rsidRPr="00262004">
        <w:rPr>
          <w:rFonts w:ascii="Times New Roman" w:hAnsi="Times New Roman" w:cs="Times New Roman"/>
          <w:color w:val="auto"/>
          <w:lang w:eastAsia="bg-BG"/>
        </w:rPr>
        <w:t>2.2.1. Транспортен сектор....................................</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 стр.8</w:t>
      </w:r>
    </w:p>
    <w:p w:rsidR="00173C23" w:rsidRPr="00262004" w:rsidRDefault="00173C23" w:rsidP="000A6439">
      <w:pPr>
        <w:pStyle w:val="Default"/>
        <w:rPr>
          <w:rFonts w:ascii="Times New Roman" w:hAnsi="Times New Roman" w:cs="Times New Roman"/>
          <w:color w:val="auto"/>
          <w:lang w:eastAsia="bg-BG"/>
        </w:rPr>
      </w:pPr>
      <w:r w:rsidRPr="00262004">
        <w:rPr>
          <w:rFonts w:ascii="Times New Roman" w:hAnsi="Times New Roman" w:cs="Times New Roman"/>
          <w:color w:val="auto"/>
          <w:lang w:eastAsia="bg-BG"/>
        </w:rPr>
        <w:tab/>
      </w:r>
      <w:r w:rsidRPr="00262004">
        <w:rPr>
          <w:rFonts w:ascii="Times New Roman" w:hAnsi="Times New Roman" w:cs="Times New Roman"/>
          <w:color w:val="auto"/>
          <w:lang w:val="ru-RU" w:eastAsia="bg-BG"/>
        </w:rPr>
        <w:tab/>
      </w:r>
      <w:r w:rsidRPr="00262004">
        <w:rPr>
          <w:rFonts w:ascii="Times New Roman" w:hAnsi="Times New Roman" w:cs="Times New Roman"/>
          <w:color w:val="auto"/>
          <w:lang w:val="ru-RU" w:eastAsia="bg-BG"/>
        </w:rPr>
        <w:tab/>
      </w:r>
      <w:r w:rsidRPr="00262004">
        <w:rPr>
          <w:rFonts w:ascii="Times New Roman" w:hAnsi="Times New Roman" w:cs="Times New Roman"/>
          <w:color w:val="auto"/>
          <w:lang w:eastAsia="bg-BG"/>
        </w:rPr>
        <w:t>2.2.2. Горски сектор................................................</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w:t>
      </w:r>
      <w:r w:rsidRPr="00262004">
        <w:rPr>
          <w:rFonts w:ascii="Times New Roman" w:hAnsi="Times New Roman" w:cs="Times New Roman"/>
          <w:color w:val="auto"/>
          <w:lang w:eastAsia="bg-BG"/>
        </w:rPr>
        <w:t>стр.</w:t>
      </w:r>
      <w:r>
        <w:rPr>
          <w:rFonts w:ascii="Times New Roman" w:hAnsi="Times New Roman" w:cs="Times New Roman"/>
          <w:color w:val="auto"/>
          <w:lang w:eastAsia="bg-BG"/>
        </w:rPr>
        <w:t>9</w:t>
      </w:r>
    </w:p>
    <w:p w:rsidR="00173C23" w:rsidRPr="00262004" w:rsidRDefault="00173C23" w:rsidP="000A6439">
      <w:pPr>
        <w:pStyle w:val="Default"/>
        <w:rPr>
          <w:rFonts w:ascii="Times New Roman" w:hAnsi="Times New Roman" w:cs="Times New Roman"/>
          <w:color w:val="auto"/>
          <w:lang w:eastAsia="bg-BG"/>
        </w:rPr>
      </w:pPr>
      <w:r w:rsidRPr="00262004">
        <w:rPr>
          <w:rFonts w:ascii="Times New Roman" w:hAnsi="Times New Roman" w:cs="Times New Roman"/>
          <w:color w:val="auto"/>
          <w:lang w:eastAsia="bg-BG"/>
        </w:rPr>
        <w:tab/>
      </w:r>
      <w:r w:rsidRPr="00262004">
        <w:rPr>
          <w:rFonts w:ascii="Times New Roman" w:hAnsi="Times New Roman" w:cs="Times New Roman"/>
          <w:color w:val="auto"/>
          <w:lang w:val="ru-RU" w:eastAsia="bg-BG"/>
        </w:rPr>
        <w:tab/>
      </w:r>
      <w:r w:rsidRPr="00262004">
        <w:rPr>
          <w:rFonts w:ascii="Times New Roman" w:hAnsi="Times New Roman" w:cs="Times New Roman"/>
          <w:color w:val="auto"/>
          <w:lang w:val="ru-RU" w:eastAsia="bg-BG"/>
        </w:rPr>
        <w:tab/>
      </w:r>
      <w:r w:rsidRPr="00262004">
        <w:rPr>
          <w:rFonts w:ascii="Times New Roman" w:hAnsi="Times New Roman" w:cs="Times New Roman"/>
          <w:color w:val="auto"/>
          <w:lang w:eastAsia="bg-BG"/>
        </w:rPr>
        <w:t>2.2.3. Отпадъци.........................................................</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w:t>
      </w:r>
      <w:r w:rsidRPr="00262004">
        <w:rPr>
          <w:rFonts w:ascii="Times New Roman" w:hAnsi="Times New Roman" w:cs="Times New Roman"/>
          <w:color w:val="auto"/>
          <w:lang w:eastAsia="bg-BG"/>
        </w:rPr>
        <w:t>стр.</w:t>
      </w:r>
      <w:r>
        <w:rPr>
          <w:rFonts w:ascii="Times New Roman" w:hAnsi="Times New Roman" w:cs="Times New Roman"/>
          <w:color w:val="auto"/>
          <w:lang w:eastAsia="bg-BG"/>
        </w:rPr>
        <w:t>10</w:t>
      </w:r>
    </w:p>
    <w:p w:rsidR="00173C23" w:rsidRPr="00262004" w:rsidRDefault="00173C23" w:rsidP="000A6439">
      <w:pPr>
        <w:pStyle w:val="Default"/>
        <w:ind w:firstLine="708"/>
        <w:rPr>
          <w:rFonts w:ascii="Times New Roman" w:hAnsi="Times New Roman" w:cs="Times New Roman"/>
          <w:color w:val="auto"/>
          <w:lang w:eastAsia="bg-BG"/>
        </w:rPr>
      </w:pPr>
      <w:r w:rsidRPr="00262004">
        <w:rPr>
          <w:rFonts w:ascii="Times New Roman" w:hAnsi="Times New Roman" w:cs="Times New Roman"/>
          <w:color w:val="auto"/>
          <w:lang w:eastAsia="bg-BG"/>
        </w:rPr>
        <w:t>3.Измерение „Енергийна ефективност”...................................</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w:t>
      </w:r>
      <w:r w:rsidRPr="00262004">
        <w:rPr>
          <w:rFonts w:ascii="Times New Roman" w:hAnsi="Times New Roman" w:cs="Times New Roman"/>
          <w:color w:val="auto"/>
          <w:lang w:eastAsia="bg-BG"/>
        </w:rPr>
        <w:t>стр.</w:t>
      </w:r>
      <w:r>
        <w:rPr>
          <w:rFonts w:ascii="Times New Roman" w:hAnsi="Times New Roman" w:cs="Times New Roman"/>
          <w:color w:val="auto"/>
          <w:lang w:eastAsia="bg-BG"/>
        </w:rPr>
        <w:t>11</w:t>
      </w:r>
    </w:p>
    <w:p w:rsidR="00173C23" w:rsidRPr="00262004" w:rsidRDefault="00173C23" w:rsidP="000A6439">
      <w:pPr>
        <w:pStyle w:val="Default"/>
        <w:ind w:left="708" w:firstLine="708"/>
        <w:rPr>
          <w:rFonts w:ascii="Times New Roman" w:hAnsi="Times New Roman" w:cs="Times New Roman"/>
          <w:color w:val="auto"/>
          <w:lang w:eastAsia="bg-BG"/>
        </w:rPr>
      </w:pPr>
      <w:r w:rsidRPr="00262004">
        <w:rPr>
          <w:rFonts w:ascii="Times New Roman" w:hAnsi="Times New Roman" w:cs="Times New Roman"/>
          <w:color w:val="auto"/>
          <w:lang w:eastAsia="bg-BG"/>
        </w:rPr>
        <w:t>3.1.Амбиция и цели...............................................................</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w:t>
      </w:r>
      <w:r w:rsidRPr="00262004">
        <w:rPr>
          <w:rFonts w:ascii="Times New Roman" w:hAnsi="Times New Roman" w:cs="Times New Roman"/>
          <w:color w:val="auto"/>
          <w:lang w:eastAsia="bg-BG"/>
        </w:rPr>
        <w:t>стр.</w:t>
      </w:r>
      <w:r>
        <w:rPr>
          <w:rFonts w:ascii="Times New Roman" w:hAnsi="Times New Roman" w:cs="Times New Roman"/>
          <w:color w:val="auto"/>
          <w:lang w:eastAsia="bg-BG"/>
        </w:rPr>
        <w:t>11</w:t>
      </w:r>
    </w:p>
    <w:p w:rsidR="00173C23" w:rsidRPr="00262004" w:rsidRDefault="00173C23" w:rsidP="000A6439">
      <w:pPr>
        <w:pStyle w:val="Default"/>
        <w:ind w:left="708" w:firstLine="708"/>
        <w:rPr>
          <w:rFonts w:ascii="Times New Roman" w:hAnsi="Times New Roman" w:cs="Times New Roman"/>
          <w:color w:val="auto"/>
          <w:lang w:eastAsia="bg-BG"/>
        </w:rPr>
      </w:pPr>
      <w:r w:rsidRPr="00262004">
        <w:rPr>
          <w:rFonts w:ascii="Times New Roman" w:hAnsi="Times New Roman" w:cs="Times New Roman"/>
          <w:color w:val="auto"/>
          <w:lang w:eastAsia="bg-BG"/>
        </w:rPr>
        <w:t>3.2. Политики и мерки.................................................................</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w:t>
      </w:r>
      <w:r w:rsidRPr="00262004">
        <w:rPr>
          <w:rFonts w:ascii="Times New Roman" w:hAnsi="Times New Roman" w:cs="Times New Roman"/>
          <w:color w:val="auto"/>
          <w:lang w:eastAsia="bg-BG"/>
        </w:rPr>
        <w:t>стр.1</w:t>
      </w:r>
      <w:r>
        <w:rPr>
          <w:rFonts w:ascii="Times New Roman" w:hAnsi="Times New Roman" w:cs="Times New Roman"/>
          <w:color w:val="auto"/>
          <w:lang w:eastAsia="bg-BG"/>
        </w:rPr>
        <w:t>2</w:t>
      </w:r>
    </w:p>
    <w:p w:rsidR="00173C23" w:rsidRPr="00262004" w:rsidRDefault="00173C23" w:rsidP="00262004">
      <w:pPr>
        <w:pStyle w:val="Default"/>
        <w:ind w:firstLine="709"/>
        <w:jc w:val="left"/>
        <w:rPr>
          <w:rFonts w:ascii="Times New Roman" w:hAnsi="Times New Roman" w:cs="Times New Roman"/>
          <w:color w:val="auto"/>
          <w:lang w:val="ru-RU" w:eastAsia="bg-BG"/>
        </w:rPr>
      </w:pPr>
      <w:r w:rsidRPr="00262004">
        <w:rPr>
          <w:rFonts w:ascii="Times New Roman" w:hAnsi="Times New Roman" w:cs="Times New Roman"/>
          <w:color w:val="auto"/>
          <w:lang w:eastAsia="bg-BG"/>
        </w:rPr>
        <w:t>4.</w:t>
      </w:r>
      <w:r w:rsidRPr="008934D6">
        <w:rPr>
          <w:rFonts w:ascii="Times New Roman" w:hAnsi="Times New Roman" w:cs="Times New Roman"/>
          <w:color w:val="auto"/>
          <w:lang w:val="ru-RU" w:eastAsia="bg-BG"/>
        </w:rPr>
        <w:t xml:space="preserve"> </w:t>
      </w:r>
      <w:r w:rsidRPr="00262004">
        <w:rPr>
          <w:rFonts w:ascii="Times New Roman" w:hAnsi="Times New Roman" w:cs="Times New Roman"/>
          <w:color w:val="auto"/>
          <w:lang w:eastAsia="bg-BG"/>
        </w:rPr>
        <w:t>Измерение</w:t>
      </w:r>
      <w:r w:rsidRPr="00262004">
        <w:rPr>
          <w:rFonts w:ascii="Times New Roman" w:hAnsi="Times New Roman" w:cs="Times New Roman"/>
          <w:color w:val="auto"/>
          <w:lang w:val="ru-RU" w:eastAsia="bg-BG"/>
        </w:rPr>
        <w:t>„Научни изследвания, иновации и конкурентоспособност“</w:t>
      </w:r>
      <w:r w:rsidRPr="00262004">
        <w:rPr>
          <w:rFonts w:ascii="Times New Roman" w:hAnsi="Times New Roman" w:cs="Times New Roman"/>
          <w:color w:val="auto"/>
          <w:lang w:eastAsia="bg-BG"/>
        </w:rPr>
        <w:t>..</w:t>
      </w:r>
      <w:r>
        <w:rPr>
          <w:rFonts w:ascii="Times New Roman" w:hAnsi="Times New Roman" w:cs="Times New Roman"/>
          <w:color w:val="auto"/>
          <w:lang w:eastAsia="bg-BG"/>
        </w:rPr>
        <w:t>.......</w:t>
      </w:r>
      <w:r w:rsidRPr="00262004">
        <w:rPr>
          <w:rFonts w:ascii="Times New Roman" w:hAnsi="Times New Roman" w:cs="Times New Roman"/>
          <w:color w:val="auto"/>
          <w:lang w:eastAsia="bg-BG"/>
        </w:rPr>
        <w:t>......</w:t>
      </w:r>
      <w:r>
        <w:rPr>
          <w:rFonts w:ascii="Times New Roman" w:hAnsi="Times New Roman" w:cs="Times New Roman"/>
          <w:color w:val="auto"/>
          <w:lang w:eastAsia="bg-BG"/>
        </w:rPr>
        <w:t>..........</w:t>
      </w:r>
      <w:r w:rsidRPr="00262004">
        <w:rPr>
          <w:rFonts w:ascii="Times New Roman" w:hAnsi="Times New Roman" w:cs="Times New Roman"/>
          <w:color w:val="auto"/>
          <w:lang w:eastAsia="bg-BG"/>
        </w:rPr>
        <w:t>стр.</w:t>
      </w:r>
      <w:r>
        <w:rPr>
          <w:rFonts w:ascii="Times New Roman" w:hAnsi="Times New Roman" w:cs="Times New Roman"/>
          <w:color w:val="auto"/>
          <w:lang w:eastAsia="bg-BG"/>
        </w:rPr>
        <w:t>13</w:t>
      </w:r>
    </w:p>
    <w:p w:rsidR="00173C23" w:rsidRPr="009010C3" w:rsidRDefault="00173C23" w:rsidP="000A6439">
      <w:pPr>
        <w:pStyle w:val="Default"/>
        <w:ind w:firstLine="708"/>
        <w:rPr>
          <w:rFonts w:ascii="Times New Roman" w:hAnsi="Times New Roman" w:cs="Times New Roman"/>
          <w:color w:val="auto"/>
          <w:lang w:eastAsia="bg-BG"/>
        </w:rPr>
      </w:pPr>
      <w:r w:rsidRPr="00262004">
        <w:rPr>
          <w:rFonts w:ascii="Times New Roman" w:hAnsi="Times New Roman" w:cs="Times New Roman"/>
          <w:color w:val="auto"/>
          <w:lang w:val="ru-RU" w:eastAsia="bg-BG"/>
        </w:rPr>
        <w:t>5</w:t>
      </w:r>
      <w:r w:rsidRPr="00262004">
        <w:rPr>
          <w:rFonts w:ascii="Times New Roman" w:hAnsi="Times New Roman" w:cs="Times New Roman"/>
          <w:color w:val="auto"/>
          <w:lang w:eastAsia="bg-BG"/>
        </w:rPr>
        <w:t>. Заключения и препоръки</w:t>
      </w:r>
      <w:r w:rsidRPr="009010C3">
        <w:rPr>
          <w:rFonts w:ascii="Times New Roman" w:hAnsi="Times New Roman" w:cs="Times New Roman"/>
          <w:color w:val="auto"/>
          <w:lang w:eastAsia="bg-BG"/>
        </w:rPr>
        <w:t>..........................................................................................</w:t>
      </w:r>
      <w:r>
        <w:rPr>
          <w:rFonts w:ascii="Times New Roman" w:hAnsi="Times New Roman" w:cs="Times New Roman"/>
          <w:color w:val="auto"/>
          <w:lang w:eastAsia="bg-BG"/>
        </w:rPr>
        <w:t>...........</w:t>
      </w:r>
      <w:r w:rsidRPr="009010C3">
        <w:rPr>
          <w:rFonts w:ascii="Times New Roman" w:hAnsi="Times New Roman" w:cs="Times New Roman"/>
          <w:color w:val="auto"/>
          <w:lang w:eastAsia="bg-BG"/>
        </w:rPr>
        <w:t>стр.14</w:t>
      </w:r>
    </w:p>
    <w:p w:rsidR="00173C23" w:rsidRPr="00C417A6" w:rsidRDefault="00173C23" w:rsidP="000A6439">
      <w:pPr>
        <w:pStyle w:val="Default"/>
        <w:ind w:firstLine="708"/>
        <w:rPr>
          <w:rFonts w:ascii="Times New Roman" w:hAnsi="Times New Roman" w:cs="Times New Roman"/>
          <w:color w:val="auto"/>
          <w:sz w:val="20"/>
          <w:szCs w:val="20"/>
          <w:lang w:eastAsia="bg-BG"/>
        </w:rPr>
      </w:pPr>
    </w:p>
    <w:p w:rsidR="00173C23" w:rsidRDefault="00173C23" w:rsidP="00392C08">
      <w:pPr>
        <w:pStyle w:val="Default"/>
        <w:spacing w:after="120"/>
        <w:ind w:firstLine="708"/>
        <w:rPr>
          <w:rFonts w:ascii="Times New Roman" w:hAnsi="Times New Roman" w:cs="Times New Roman"/>
          <w:color w:val="auto"/>
          <w:lang w:eastAsia="bg-BG"/>
        </w:rPr>
      </w:pPr>
      <w:r w:rsidRPr="008A2D93">
        <w:rPr>
          <w:rFonts w:ascii="Times New Roman" w:hAnsi="Times New Roman" w:cs="Times New Roman"/>
          <w:color w:val="auto"/>
          <w:lang w:eastAsia="bg-BG"/>
        </w:rPr>
        <w:t>Интегрирания</w:t>
      </w:r>
      <w:r>
        <w:rPr>
          <w:rFonts w:ascii="Times New Roman" w:hAnsi="Times New Roman" w:cs="Times New Roman"/>
          <w:color w:val="auto"/>
          <w:lang w:eastAsia="bg-BG"/>
        </w:rPr>
        <w:t>т</w:t>
      </w:r>
      <w:r w:rsidRPr="008A2D93">
        <w:rPr>
          <w:rFonts w:ascii="Times New Roman" w:hAnsi="Times New Roman" w:cs="Times New Roman"/>
          <w:color w:val="auto"/>
          <w:lang w:eastAsia="bg-BG"/>
        </w:rPr>
        <w:t xml:space="preserve"> </w:t>
      </w:r>
      <w:r>
        <w:rPr>
          <w:rFonts w:ascii="Times New Roman" w:hAnsi="Times New Roman" w:cs="Times New Roman"/>
          <w:color w:val="auto"/>
          <w:lang w:eastAsia="bg-BG"/>
        </w:rPr>
        <w:t>национален план в областта на енергетиката и к</w:t>
      </w:r>
      <w:r w:rsidRPr="008A2D93">
        <w:rPr>
          <w:rFonts w:ascii="Times New Roman" w:hAnsi="Times New Roman" w:cs="Times New Roman"/>
          <w:color w:val="auto"/>
          <w:lang w:eastAsia="bg-BG"/>
        </w:rPr>
        <w:t>лимата на Република България 2021 – 2030 г. (ИНПЕК) е</w:t>
      </w:r>
      <w:r w:rsidRPr="00091769">
        <w:rPr>
          <w:rFonts w:ascii="Times New Roman" w:hAnsi="Times New Roman" w:cs="Times New Roman"/>
          <w:color w:val="auto"/>
          <w:lang w:val="ru-RU" w:eastAsia="bg-BG"/>
        </w:rPr>
        <w:t xml:space="preserve"> </w:t>
      </w:r>
      <w:r w:rsidRPr="008A2D93">
        <w:rPr>
          <w:rFonts w:ascii="Times New Roman" w:hAnsi="Times New Roman" w:cs="Times New Roman"/>
          <w:color w:val="auto"/>
          <w:lang w:eastAsia="bg-BG"/>
        </w:rPr>
        <w:t xml:space="preserve">елемент от осигуряването на координиран и съгласуван подход в рамките на ЕС при изпълнение на стратегията </w:t>
      </w:r>
      <w:r>
        <w:rPr>
          <w:rFonts w:ascii="Times New Roman" w:hAnsi="Times New Roman" w:cs="Times New Roman"/>
          <w:color w:val="auto"/>
          <w:lang w:eastAsia="bg-BG"/>
        </w:rPr>
        <w:t>му</w:t>
      </w:r>
      <w:r w:rsidRPr="008A2D93">
        <w:rPr>
          <w:rFonts w:ascii="Times New Roman" w:hAnsi="Times New Roman" w:cs="Times New Roman"/>
          <w:color w:val="auto"/>
          <w:lang w:eastAsia="bg-BG"/>
        </w:rPr>
        <w:t>, за което следва да допринася всяка държава членка. Поради това структурата и основните области на приложение на ИНПЕК се определя</w:t>
      </w:r>
      <w:r>
        <w:rPr>
          <w:rFonts w:ascii="Times New Roman" w:hAnsi="Times New Roman" w:cs="Times New Roman"/>
          <w:color w:val="auto"/>
          <w:lang w:eastAsia="bg-BG"/>
        </w:rPr>
        <w:t>т</w:t>
      </w:r>
      <w:r w:rsidRPr="008A2D93">
        <w:rPr>
          <w:rFonts w:ascii="Times New Roman" w:hAnsi="Times New Roman" w:cs="Times New Roman"/>
          <w:color w:val="auto"/>
          <w:lang w:eastAsia="bg-BG"/>
        </w:rPr>
        <w:t xml:space="preserve"> от общ подход, приложим за всички страни в ЕС. Същото се отнася и до основните цели, заложени в плановете в областта на енергетиката и климата.</w:t>
      </w:r>
    </w:p>
    <w:p w:rsidR="00173C23" w:rsidRPr="00465C60" w:rsidRDefault="00173C23" w:rsidP="00392C08">
      <w:pPr>
        <w:pStyle w:val="Default"/>
        <w:spacing w:after="120"/>
        <w:ind w:firstLine="708"/>
        <w:rPr>
          <w:rFonts w:ascii="Times New Roman" w:hAnsi="Times New Roman" w:cs="Times New Roman"/>
          <w:color w:val="auto"/>
          <w:lang w:eastAsia="bg-BG"/>
        </w:rPr>
      </w:pPr>
      <w:r>
        <w:rPr>
          <w:rFonts w:ascii="Times New Roman" w:hAnsi="Times New Roman" w:cs="Times New Roman"/>
          <w:color w:val="auto"/>
          <w:lang w:eastAsia="bg-BG"/>
        </w:rPr>
        <w:t xml:space="preserve">Предложеният експертен анализ на части от документа е изпълнен съвместно от група специалисти партньори на Българския енергиен и минен форум (БЕМФ), които са следвали логиката на приоритетите в политиките на Европейската зелена сделка и са направили опит да транспонират тези политики в една бъдеща „Българска зелена сделка”. Разработката няма амбицията за изчерпателност на целия комплекс политики и действия свързани със Зелената сделка, но предпоставя, че България трябва да се стреми към реализацията на поне част от тези планове, които представляват национален интерес.      </w:t>
      </w:r>
    </w:p>
    <w:p w:rsidR="00173C23" w:rsidRPr="00091769" w:rsidRDefault="00173C23" w:rsidP="00392C08">
      <w:pPr>
        <w:pStyle w:val="Default"/>
        <w:spacing w:after="120"/>
        <w:ind w:firstLine="708"/>
        <w:rPr>
          <w:rFonts w:ascii="Times New Roman" w:hAnsi="Times New Roman" w:cs="Times New Roman"/>
          <w:color w:val="auto"/>
          <w:lang w:val="ru-RU" w:eastAsia="bg-BG"/>
        </w:rPr>
      </w:pPr>
      <w:r w:rsidRPr="00091769">
        <w:rPr>
          <w:rFonts w:ascii="Times New Roman" w:hAnsi="Times New Roman" w:cs="Times New Roman"/>
          <w:color w:val="auto"/>
          <w:lang w:val="ru-RU" w:eastAsia="bg-BG"/>
        </w:rPr>
        <w:t xml:space="preserve">В </w:t>
      </w:r>
      <w:r w:rsidRPr="008A2D93">
        <w:rPr>
          <w:rFonts w:ascii="Times New Roman" w:hAnsi="Times New Roman" w:cs="Times New Roman"/>
          <w:color w:val="auto"/>
          <w:lang w:eastAsia="bg-BG"/>
        </w:rPr>
        <w:t>ИНПЕК</w:t>
      </w:r>
      <w:r>
        <w:rPr>
          <w:rFonts w:ascii="Times New Roman" w:hAnsi="Times New Roman" w:cs="Times New Roman"/>
          <w:color w:val="auto"/>
          <w:lang w:eastAsia="bg-BG"/>
        </w:rPr>
        <w:t xml:space="preserve"> на България (Плана)</w:t>
      </w:r>
      <w:r w:rsidRPr="00091769">
        <w:rPr>
          <w:rFonts w:ascii="Times New Roman" w:hAnsi="Times New Roman" w:cs="Times New Roman"/>
          <w:color w:val="auto"/>
          <w:lang w:val="ru-RU" w:eastAsia="bg-BG"/>
        </w:rPr>
        <w:t xml:space="preserve"> са дадени предвижданията за цели, политики и инструменти в областта на енергетиката и климата, свързани с петте измерения на Енергийния съюз:</w:t>
      </w:r>
    </w:p>
    <w:p w:rsidR="00173C23" w:rsidRPr="008A2D93" w:rsidRDefault="00173C23" w:rsidP="00392C08">
      <w:pPr>
        <w:pStyle w:val="Default"/>
        <w:numPr>
          <w:ilvl w:val="0"/>
          <w:numId w:val="21"/>
        </w:numPr>
        <w:ind w:left="714" w:hanging="357"/>
        <w:rPr>
          <w:rFonts w:ascii="Times New Roman" w:hAnsi="Times New Roman" w:cs="Times New Roman"/>
          <w:color w:val="auto"/>
          <w:lang w:val="en-GB" w:eastAsia="bg-BG"/>
        </w:rPr>
      </w:pPr>
      <w:r w:rsidRPr="008A2D93">
        <w:rPr>
          <w:rFonts w:ascii="Times New Roman" w:hAnsi="Times New Roman" w:cs="Times New Roman"/>
          <w:color w:val="auto"/>
          <w:lang w:val="en-GB" w:eastAsia="bg-BG"/>
        </w:rPr>
        <w:t xml:space="preserve">Измерение „Декарбонизация“ </w:t>
      </w:r>
    </w:p>
    <w:p w:rsidR="00173C23" w:rsidRPr="008A2D93" w:rsidRDefault="00173C23" w:rsidP="00392C08">
      <w:pPr>
        <w:pStyle w:val="Default"/>
        <w:numPr>
          <w:ilvl w:val="0"/>
          <w:numId w:val="21"/>
        </w:numPr>
        <w:ind w:left="714" w:hanging="357"/>
        <w:rPr>
          <w:rFonts w:ascii="Times New Roman" w:hAnsi="Times New Roman" w:cs="Times New Roman"/>
          <w:color w:val="auto"/>
          <w:lang w:val="en-GB" w:eastAsia="bg-BG"/>
        </w:rPr>
      </w:pPr>
      <w:r w:rsidRPr="008A2D93">
        <w:rPr>
          <w:rFonts w:ascii="Times New Roman" w:hAnsi="Times New Roman" w:cs="Times New Roman"/>
          <w:color w:val="auto"/>
          <w:lang w:val="en-GB" w:eastAsia="bg-BG"/>
        </w:rPr>
        <w:t>Измерение„ Енергийна ефективност“</w:t>
      </w:r>
    </w:p>
    <w:p w:rsidR="00173C23" w:rsidRPr="008A2D93" w:rsidRDefault="00173C23" w:rsidP="00392C08">
      <w:pPr>
        <w:pStyle w:val="Default"/>
        <w:numPr>
          <w:ilvl w:val="0"/>
          <w:numId w:val="21"/>
        </w:numPr>
        <w:ind w:left="714" w:hanging="357"/>
        <w:rPr>
          <w:rFonts w:ascii="Times New Roman" w:hAnsi="Times New Roman" w:cs="Times New Roman"/>
          <w:color w:val="auto"/>
          <w:lang w:val="en-GB" w:eastAsia="bg-BG"/>
        </w:rPr>
      </w:pPr>
      <w:r w:rsidRPr="008A2D93">
        <w:rPr>
          <w:rFonts w:ascii="Times New Roman" w:hAnsi="Times New Roman" w:cs="Times New Roman"/>
          <w:color w:val="auto"/>
          <w:lang w:val="en-GB" w:eastAsia="bg-BG"/>
        </w:rPr>
        <w:t>Измерение „Енергийна сигурност“</w:t>
      </w:r>
    </w:p>
    <w:p w:rsidR="00173C23" w:rsidRPr="008A2D93" w:rsidRDefault="00173C23" w:rsidP="00392C08">
      <w:pPr>
        <w:pStyle w:val="Default"/>
        <w:numPr>
          <w:ilvl w:val="0"/>
          <w:numId w:val="21"/>
        </w:numPr>
        <w:ind w:left="714" w:hanging="357"/>
        <w:rPr>
          <w:rFonts w:ascii="Times New Roman" w:hAnsi="Times New Roman" w:cs="Times New Roman"/>
          <w:color w:val="auto"/>
          <w:lang w:val="en-GB" w:eastAsia="bg-BG"/>
        </w:rPr>
      </w:pPr>
      <w:r w:rsidRPr="008A2D93">
        <w:rPr>
          <w:rFonts w:ascii="Times New Roman" w:hAnsi="Times New Roman" w:cs="Times New Roman"/>
          <w:color w:val="auto"/>
          <w:lang w:val="en-GB" w:eastAsia="bg-BG"/>
        </w:rPr>
        <w:t>Измерение „Вътрешен енергиен пазар“</w:t>
      </w:r>
    </w:p>
    <w:p w:rsidR="00173C23" w:rsidRPr="00091769" w:rsidRDefault="00173C23" w:rsidP="00392C08">
      <w:pPr>
        <w:pStyle w:val="Default"/>
        <w:numPr>
          <w:ilvl w:val="0"/>
          <w:numId w:val="21"/>
        </w:numPr>
        <w:ind w:left="714" w:hanging="357"/>
        <w:rPr>
          <w:rFonts w:ascii="Times New Roman" w:hAnsi="Times New Roman" w:cs="Times New Roman"/>
          <w:color w:val="auto"/>
          <w:lang w:val="ru-RU" w:eastAsia="bg-BG"/>
        </w:rPr>
      </w:pPr>
      <w:r w:rsidRPr="00091769">
        <w:rPr>
          <w:rFonts w:ascii="Times New Roman" w:hAnsi="Times New Roman" w:cs="Times New Roman"/>
          <w:color w:val="auto"/>
          <w:lang w:val="ru-RU" w:eastAsia="bg-BG"/>
        </w:rPr>
        <w:t>Измерение „Научни изследвания, иновации и конкурентоспособност“</w:t>
      </w:r>
    </w:p>
    <w:p w:rsidR="00173C23" w:rsidRPr="008A2D93" w:rsidRDefault="00173C23" w:rsidP="00392C08">
      <w:pPr>
        <w:pStyle w:val="Default"/>
        <w:ind w:firstLine="720"/>
        <w:rPr>
          <w:rFonts w:ascii="Times New Roman" w:hAnsi="Times New Roman" w:cs="Times New Roman"/>
          <w:color w:val="auto"/>
          <w:lang w:eastAsia="bg-BG"/>
        </w:rPr>
      </w:pPr>
      <w:r w:rsidRPr="008A2D93">
        <w:rPr>
          <w:rFonts w:ascii="Times New Roman" w:hAnsi="Times New Roman" w:cs="Times New Roman"/>
          <w:color w:val="auto"/>
          <w:lang w:eastAsia="bg-BG"/>
        </w:rPr>
        <w:t xml:space="preserve">Първите две измерения са ключови за развитие на производствените енергийни капацитети и начините за използване на енергията при крайните потребители. </w:t>
      </w:r>
      <w:r>
        <w:rPr>
          <w:rFonts w:ascii="Times New Roman" w:hAnsi="Times New Roman" w:cs="Times New Roman"/>
          <w:color w:val="auto"/>
          <w:lang w:eastAsia="bg-BG"/>
        </w:rPr>
        <w:t>Поради това т</w:t>
      </w:r>
      <w:r w:rsidRPr="008A2D93">
        <w:rPr>
          <w:rFonts w:ascii="Times New Roman" w:hAnsi="Times New Roman" w:cs="Times New Roman"/>
          <w:color w:val="auto"/>
          <w:lang w:eastAsia="bg-BG"/>
        </w:rPr>
        <w:t>ези две измерения</w:t>
      </w:r>
      <w:r>
        <w:rPr>
          <w:rFonts w:ascii="Times New Roman" w:hAnsi="Times New Roman" w:cs="Times New Roman"/>
          <w:color w:val="auto"/>
          <w:lang w:eastAsia="bg-BG"/>
        </w:rPr>
        <w:t>,</w:t>
      </w:r>
      <w:r w:rsidRPr="008A2D93">
        <w:rPr>
          <w:rFonts w:ascii="Times New Roman" w:hAnsi="Times New Roman" w:cs="Times New Roman"/>
          <w:color w:val="auto"/>
          <w:lang w:eastAsia="bg-BG"/>
        </w:rPr>
        <w:t xml:space="preserve"> </w:t>
      </w:r>
      <w:r>
        <w:rPr>
          <w:rFonts w:ascii="Times New Roman" w:hAnsi="Times New Roman" w:cs="Times New Roman"/>
          <w:color w:val="auto"/>
          <w:lang w:eastAsia="bg-BG"/>
        </w:rPr>
        <w:t xml:space="preserve">приложими за България, </w:t>
      </w:r>
      <w:r w:rsidRPr="008A2D93">
        <w:rPr>
          <w:rFonts w:ascii="Times New Roman" w:hAnsi="Times New Roman" w:cs="Times New Roman"/>
          <w:color w:val="auto"/>
          <w:lang w:eastAsia="bg-BG"/>
        </w:rPr>
        <w:t>са анализирани подробно в настоящото становище.</w:t>
      </w:r>
    </w:p>
    <w:p w:rsidR="00173C23" w:rsidRDefault="00173C23" w:rsidP="00392C08">
      <w:pPr>
        <w:pStyle w:val="Default"/>
        <w:ind w:firstLine="720"/>
        <w:rPr>
          <w:rFonts w:ascii="Times New Roman" w:hAnsi="Times New Roman" w:cs="Times New Roman"/>
          <w:color w:val="auto"/>
          <w:lang w:eastAsia="bg-BG"/>
        </w:rPr>
      </w:pPr>
      <w:r w:rsidRPr="008A2D93">
        <w:rPr>
          <w:rFonts w:ascii="Times New Roman" w:hAnsi="Times New Roman" w:cs="Times New Roman"/>
          <w:color w:val="auto"/>
          <w:lang w:eastAsia="bg-BG"/>
        </w:rPr>
        <w:t xml:space="preserve">Измерението </w:t>
      </w:r>
      <w:r w:rsidRPr="00091769">
        <w:rPr>
          <w:rFonts w:ascii="Times New Roman" w:hAnsi="Times New Roman" w:cs="Times New Roman"/>
          <w:color w:val="auto"/>
          <w:lang w:val="ru-RU" w:eastAsia="bg-BG"/>
        </w:rPr>
        <w:t>„Енергийна сигурност“</w:t>
      </w:r>
      <w:r w:rsidRPr="008A2D93">
        <w:rPr>
          <w:rFonts w:ascii="Times New Roman" w:hAnsi="Times New Roman" w:cs="Times New Roman"/>
          <w:color w:val="auto"/>
          <w:lang w:eastAsia="bg-BG"/>
        </w:rPr>
        <w:t xml:space="preserve"> е функция на първите две измерения и възможностите за използване на местни енергийни източници. </w:t>
      </w:r>
    </w:p>
    <w:p w:rsidR="00173C23" w:rsidRDefault="00173C23" w:rsidP="00392C08">
      <w:pPr>
        <w:pStyle w:val="Default"/>
        <w:ind w:firstLine="720"/>
        <w:rPr>
          <w:rFonts w:ascii="Times New Roman" w:hAnsi="Times New Roman" w:cs="Times New Roman"/>
          <w:color w:val="auto"/>
          <w:lang w:eastAsia="bg-BG"/>
        </w:rPr>
      </w:pPr>
      <w:r w:rsidRPr="008A2D93">
        <w:rPr>
          <w:rFonts w:ascii="Times New Roman" w:hAnsi="Times New Roman" w:cs="Times New Roman"/>
          <w:color w:val="auto"/>
          <w:lang w:eastAsia="bg-BG"/>
        </w:rPr>
        <w:t xml:space="preserve">Измерението </w:t>
      </w:r>
      <w:r w:rsidRPr="00091769">
        <w:rPr>
          <w:rFonts w:ascii="Times New Roman" w:hAnsi="Times New Roman" w:cs="Times New Roman"/>
          <w:color w:val="auto"/>
          <w:lang w:val="ru-RU" w:eastAsia="bg-BG"/>
        </w:rPr>
        <w:t>„Вътрешен енергиен пазар“</w:t>
      </w:r>
      <w:r w:rsidRPr="008A2D93">
        <w:rPr>
          <w:rFonts w:ascii="Times New Roman" w:hAnsi="Times New Roman" w:cs="Times New Roman"/>
          <w:color w:val="auto"/>
          <w:lang w:eastAsia="bg-BG"/>
        </w:rPr>
        <w:t xml:space="preserve"> се развива в съответстие с общите регламенти на ЕС, като по отношение на скоростта на либерализацията на пазара у нас, предприетите стъпкки </w:t>
      </w:r>
      <w:r>
        <w:rPr>
          <w:rFonts w:ascii="Times New Roman" w:hAnsi="Times New Roman" w:cs="Times New Roman"/>
          <w:color w:val="auto"/>
          <w:lang w:eastAsia="bg-BG"/>
        </w:rPr>
        <w:t xml:space="preserve">по наше мнение </w:t>
      </w:r>
      <w:r w:rsidRPr="008A2D93">
        <w:rPr>
          <w:rFonts w:ascii="Times New Roman" w:hAnsi="Times New Roman" w:cs="Times New Roman"/>
          <w:color w:val="auto"/>
          <w:lang w:eastAsia="bg-BG"/>
        </w:rPr>
        <w:t>все още са бавни и не позволяват да се оцени ефекта върху крайните битови потребители. Въпросите за защита на уязвимите потребители все още се разглеждат пожелателно</w:t>
      </w:r>
      <w:r>
        <w:rPr>
          <w:rFonts w:ascii="Times New Roman" w:hAnsi="Times New Roman" w:cs="Times New Roman"/>
          <w:color w:val="auto"/>
          <w:lang w:eastAsia="bg-BG"/>
        </w:rPr>
        <w:t xml:space="preserve"> като</w:t>
      </w:r>
      <w:r w:rsidRPr="008A2D93">
        <w:rPr>
          <w:rFonts w:ascii="Times New Roman" w:hAnsi="Times New Roman" w:cs="Times New Roman"/>
          <w:color w:val="auto"/>
          <w:lang w:eastAsia="bg-BG"/>
        </w:rPr>
        <w:t xml:space="preserve"> липсват финансови оценки. </w:t>
      </w:r>
    </w:p>
    <w:p w:rsidR="00173C23" w:rsidRDefault="00173C23" w:rsidP="000A6439">
      <w:pPr>
        <w:pStyle w:val="Default"/>
        <w:rPr>
          <w:rFonts w:ascii="Times New Roman" w:hAnsi="Times New Roman" w:cs="Times New Roman"/>
          <w:color w:val="auto"/>
          <w:lang w:eastAsia="bg-BG"/>
        </w:rPr>
      </w:pPr>
      <w:r w:rsidRPr="008A2D93">
        <w:rPr>
          <w:rFonts w:ascii="Times New Roman" w:hAnsi="Times New Roman" w:cs="Times New Roman"/>
          <w:color w:val="auto"/>
          <w:lang w:eastAsia="bg-BG"/>
        </w:rPr>
        <w:t xml:space="preserve">Измерението </w:t>
      </w:r>
      <w:r w:rsidRPr="00091769">
        <w:rPr>
          <w:rFonts w:ascii="Times New Roman" w:hAnsi="Times New Roman" w:cs="Times New Roman"/>
          <w:color w:val="auto"/>
          <w:lang w:val="ru-RU" w:eastAsia="bg-BG"/>
        </w:rPr>
        <w:t>„Научни изследвания, иновации и конкурентоспособност“</w:t>
      </w:r>
      <w:r w:rsidRPr="008A2D93">
        <w:rPr>
          <w:rFonts w:ascii="Times New Roman" w:hAnsi="Times New Roman" w:cs="Times New Roman"/>
          <w:color w:val="auto"/>
          <w:lang w:eastAsia="bg-BG"/>
        </w:rPr>
        <w:t xml:space="preserve"> продължава да е слабо засегнато</w:t>
      </w:r>
      <w:r>
        <w:rPr>
          <w:rFonts w:ascii="Times New Roman" w:hAnsi="Times New Roman" w:cs="Times New Roman"/>
          <w:color w:val="auto"/>
          <w:lang w:eastAsia="bg-BG"/>
        </w:rPr>
        <w:t xml:space="preserve"> в документа</w:t>
      </w:r>
      <w:r w:rsidRPr="008A2D93">
        <w:rPr>
          <w:rFonts w:ascii="Times New Roman" w:hAnsi="Times New Roman" w:cs="Times New Roman"/>
          <w:color w:val="auto"/>
          <w:lang w:eastAsia="bg-BG"/>
        </w:rPr>
        <w:t>.</w:t>
      </w:r>
    </w:p>
    <w:p w:rsidR="00173C23" w:rsidRPr="008A2D93" w:rsidRDefault="00173C23" w:rsidP="000A6439">
      <w:pPr>
        <w:pStyle w:val="Default"/>
        <w:rPr>
          <w:rFonts w:ascii="Times New Roman" w:hAnsi="Times New Roman" w:cs="Times New Roman"/>
          <w:color w:val="auto"/>
          <w:lang w:eastAsia="bg-BG"/>
        </w:rPr>
      </w:pPr>
    </w:p>
    <w:p w:rsidR="00173C23" w:rsidRPr="009D4C2F" w:rsidRDefault="00173C23" w:rsidP="000A6439">
      <w:pPr>
        <w:pStyle w:val="Default"/>
        <w:numPr>
          <w:ilvl w:val="0"/>
          <w:numId w:val="22"/>
        </w:numPr>
        <w:spacing w:after="120"/>
        <w:rPr>
          <w:rFonts w:ascii="Times New Roman" w:hAnsi="Times New Roman" w:cs="Times New Roman"/>
          <w:b/>
          <w:bCs/>
          <w:color w:val="auto"/>
          <w:sz w:val="28"/>
          <w:szCs w:val="28"/>
          <w:lang w:eastAsia="bg-BG"/>
        </w:rPr>
      </w:pPr>
      <w:r w:rsidRPr="009D4C2F">
        <w:rPr>
          <w:rFonts w:ascii="Times New Roman" w:hAnsi="Times New Roman" w:cs="Times New Roman"/>
          <w:b/>
          <w:bCs/>
          <w:color w:val="auto"/>
          <w:sz w:val="28"/>
          <w:szCs w:val="28"/>
          <w:lang w:eastAsia="bg-BG"/>
        </w:rPr>
        <w:t>Общи бележки</w:t>
      </w:r>
    </w:p>
    <w:p w:rsidR="00173C23" w:rsidRPr="008A2D93" w:rsidRDefault="00173C23" w:rsidP="00392C08">
      <w:pPr>
        <w:pStyle w:val="Default"/>
        <w:spacing w:after="120"/>
        <w:ind w:firstLine="720"/>
        <w:rPr>
          <w:rFonts w:ascii="Times New Roman" w:hAnsi="Times New Roman" w:cs="Times New Roman"/>
          <w:color w:val="auto"/>
          <w:lang w:eastAsia="bg-BG"/>
        </w:rPr>
      </w:pPr>
      <w:r w:rsidRPr="008A2D93">
        <w:rPr>
          <w:rFonts w:ascii="Times New Roman" w:hAnsi="Times New Roman" w:cs="Times New Roman"/>
          <w:color w:val="auto"/>
          <w:lang w:eastAsia="bg-BG"/>
        </w:rPr>
        <w:t>В сравнение с първоначално представения проект на Плана, в настоящата редакция е постигната по-голяма конкретност и актуалност на предвидените за изпълнение мерки/проекти. В материал</w:t>
      </w:r>
      <w:r>
        <w:rPr>
          <w:rFonts w:ascii="Times New Roman" w:hAnsi="Times New Roman" w:cs="Times New Roman"/>
          <w:color w:val="auto"/>
          <w:lang w:eastAsia="bg-BG"/>
        </w:rPr>
        <w:t>а</w:t>
      </w:r>
      <w:r w:rsidRPr="008A2D93">
        <w:rPr>
          <w:rFonts w:ascii="Times New Roman" w:hAnsi="Times New Roman" w:cs="Times New Roman"/>
          <w:color w:val="auto"/>
          <w:lang w:eastAsia="bg-BG"/>
        </w:rPr>
        <w:t xml:space="preserve"> може да се открият множество добри, но често </w:t>
      </w:r>
      <w:r>
        <w:rPr>
          <w:rFonts w:ascii="Times New Roman" w:hAnsi="Times New Roman" w:cs="Times New Roman"/>
          <w:color w:val="auto"/>
          <w:lang w:eastAsia="bg-BG"/>
        </w:rPr>
        <w:t>само пожелателни м</w:t>
      </w:r>
      <w:r w:rsidRPr="008A2D93">
        <w:rPr>
          <w:rFonts w:ascii="Times New Roman" w:hAnsi="Times New Roman" w:cs="Times New Roman"/>
          <w:color w:val="auto"/>
          <w:lang w:eastAsia="bg-BG"/>
        </w:rPr>
        <w:t>ерки, поради което той следва да се доразвие с по-голяма конкретика и обвързване с национални стратегически документи.</w:t>
      </w:r>
    </w:p>
    <w:p w:rsidR="00173C23" w:rsidRPr="00B67130" w:rsidRDefault="00173C23" w:rsidP="002512B5">
      <w:pPr>
        <w:pStyle w:val="Default"/>
        <w:spacing w:after="120"/>
        <w:ind w:firstLine="720"/>
        <w:rPr>
          <w:rFonts w:ascii="Times New Roman" w:hAnsi="Times New Roman" w:cs="Times New Roman"/>
          <w:b/>
          <w:color w:val="auto"/>
          <w:lang w:eastAsia="bg-BG"/>
        </w:rPr>
      </w:pPr>
      <w:r w:rsidRPr="00B67130">
        <w:rPr>
          <w:rFonts w:ascii="Times New Roman" w:hAnsi="Times New Roman" w:cs="Times New Roman"/>
          <w:b/>
          <w:color w:val="auto"/>
          <w:lang w:eastAsia="bg-BG"/>
        </w:rPr>
        <w:t>Визия</w:t>
      </w:r>
      <w:r>
        <w:rPr>
          <w:rFonts w:ascii="Times New Roman" w:hAnsi="Times New Roman" w:cs="Times New Roman"/>
          <w:b/>
          <w:color w:val="auto"/>
          <w:lang w:eastAsia="bg-BG"/>
        </w:rPr>
        <w:t xml:space="preserve"> за развитие и цели</w:t>
      </w:r>
    </w:p>
    <w:p w:rsidR="00173C23" w:rsidRPr="008A2D93" w:rsidRDefault="00173C23" w:rsidP="00392C08">
      <w:pPr>
        <w:pStyle w:val="Default"/>
        <w:spacing w:after="120"/>
        <w:ind w:firstLine="720"/>
        <w:rPr>
          <w:rFonts w:ascii="Times New Roman" w:hAnsi="Times New Roman" w:cs="Times New Roman"/>
          <w:color w:val="auto"/>
          <w:lang w:eastAsia="bg-BG"/>
        </w:rPr>
      </w:pPr>
      <w:r w:rsidRPr="008A2D93">
        <w:rPr>
          <w:rFonts w:ascii="Times New Roman" w:hAnsi="Times New Roman" w:cs="Times New Roman"/>
          <w:color w:val="auto"/>
          <w:lang w:eastAsia="bg-BG"/>
        </w:rPr>
        <w:t>Визията до 2050 г., която</w:t>
      </w:r>
      <w:r>
        <w:rPr>
          <w:rFonts w:ascii="Times New Roman" w:hAnsi="Times New Roman" w:cs="Times New Roman"/>
          <w:color w:val="auto"/>
          <w:lang w:eastAsia="bg-BG"/>
        </w:rPr>
        <w:t xml:space="preserve"> би следвало да се представя в П</w:t>
      </w:r>
      <w:r w:rsidRPr="008A2D93">
        <w:rPr>
          <w:rFonts w:ascii="Times New Roman" w:hAnsi="Times New Roman" w:cs="Times New Roman"/>
          <w:color w:val="auto"/>
          <w:lang w:eastAsia="bg-BG"/>
        </w:rPr>
        <w:t>лана, не е ясно изразена. Балансът в текста трябва да сe промени, като се акцентира върху ясно формулирани и оценени политики и мерки до 2030 г. и се демонстрира визия до 2050 г. за сметка на отчета на мерките и политиките, осъществявани до 2020 г.</w:t>
      </w:r>
    </w:p>
    <w:p w:rsidR="00173C23" w:rsidRPr="008A2D93" w:rsidRDefault="00173C23" w:rsidP="00392C08">
      <w:pPr>
        <w:pStyle w:val="Default"/>
        <w:spacing w:after="120"/>
        <w:ind w:firstLine="720"/>
        <w:rPr>
          <w:rFonts w:ascii="Times New Roman" w:hAnsi="Times New Roman" w:cs="Times New Roman"/>
          <w:color w:val="auto"/>
          <w:lang w:eastAsia="bg-BG"/>
        </w:rPr>
      </w:pPr>
      <w:r w:rsidRPr="008A2D93">
        <w:rPr>
          <w:rFonts w:ascii="Times New Roman" w:hAnsi="Times New Roman" w:cs="Times New Roman"/>
          <w:color w:val="auto"/>
          <w:lang w:eastAsia="bg-BG"/>
        </w:rPr>
        <w:t>Направените обобщения на „националните приоритети в областта на енергетиката“, допълнени с „основни допускания и стратегически цели“ не показват ясна национална визия и база за формулиране на мерки по всяко от измеренията на Енергийния съюз. Напротив – създава предпоставка за неясни и противоречиви формулировки които в последствие не се прилагат в предложения план. Такъв е примерът със „секторна добавена стойност“ или „регионалната енергийна сигурност“.</w:t>
      </w:r>
    </w:p>
    <w:p w:rsidR="00173C23" w:rsidRPr="008A2D93" w:rsidRDefault="00173C23" w:rsidP="00392C08">
      <w:pPr>
        <w:pStyle w:val="Default"/>
        <w:spacing w:after="120"/>
        <w:ind w:firstLine="720"/>
        <w:rPr>
          <w:rFonts w:ascii="Times New Roman" w:hAnsi="Times New Roman" w:cs="Times New Roman"/>
          <w:color w:val="auto"/>
          <w:lang w:eastAsia="bg-BG"/>
        </w:rPr>
      </w:pPr>
      <w:r>
        <w:rPr>
          <w:rFonts w:ascii="Times New Roman" w:hAnsi="Times New Roman" w:cs="Times New Roman"/>
          <w:color w:val="auto"/>
          <w:lang w:eastAsia="bg-BG"/>
        </w:rPr>
        <w:t xml:space="preserve">На </w:t>
      </w:r>
      <w:r w:rsidRPr="008A2D93">
        <w:rPr>
          <w:rFonts w:ascii="Times New Roman" w:hAnsi="Times New Roman" w:cs="Times New Roman"/>
          <w:color w:val="auto"/>
          <w:lang w:eastAsia="bg-BG"/>
        </w:rPr>
        <w:t xml:space="preserve">един План </w:t>
      </w:r>
      <w:r>
        <w:rPr>
          <w:rFonts w:ascii="Times New Roman" w:hAnsi="Times New Roman" w:cs="Times New Roman"/>
          <w:color w:val="auto"/>
          <w:lang w:eastAsia="bg-BG"/>
        </w:rPr>
        <w:t xml:space="preserve">практически </w:t>
      </w:r>
      <w:r w:rsidRPr="008A2D93">
        <w:rPr>
          <w:rFonts w:ascii="Times New Roman" w:hAnsi="Times New Roman" w:cs="Times New Roman"/>
          <w:color w:val="auto"/>
          <w:lang w:eastAsia="bg-BG"/>
        </w:rPr>
        <w:t xml:space="preserve">са нужни ясно формулирани цели, произтичащи от дългосрочна национална Стратегия. У нас се посочва, че имаме такава, но </w:t>
      </w:r>
      <w:r>
        <w:rPr>
          <w:rFonts w:ascii="Times New Roman" w:hAnsi="Times New Roman" w:cs="Times New Roman"/>
          <w:color w:val="auto"/>
          <w:lang w:eastAsia="bg-BG"/>
        </w:rPr>
        <w:t xml:space="preserve">тя е </w:t>
      </w:r>
      <w:r w:rsidRPr="008A2D93">
        <w:rPr>
          <w:rFonts w:ascii="Times New Roman" w:hAnsi="Times New Roman" w:cs="Times New Roman"/>
          <w:color w:val="auto"/>
          <w:lang w:eastAsia="bg-BG"/>
        </w:rPr>
        <w:t>само до 2020 година</w:t>
      </w:r>
      <w:r>
        <w:rPr>
          <w:rFonts w:ascii="Times New Roman" w:hAnsi="Times New Roman" w:cs="Times New Roman"/>
          <w:color w:val="auto"/>
          <w:lang w:eastAsia="bg-BG"/>
        </w:rPr>
        <w:t>. Следователно няма такава.</w:t>
      </w:r>
      <w:r w:rsidRPr="008A2D93">
        <w:rPr>
          <w:rFonts w:ascii="Times New Roman" w:hAnsi="Times New Roman" w:cs="Times New Roman"/>
          <w:color w:val="auto"/>
          <w:lang w:eastAsia="bg-BG"/>
        </w:rPr>
        <w:t xml:space="preserve"> Поради това, извън поставените общоевропейски цели, ИНПЕК не предлага отчетливи национални цели и съответно разглежданите мерки не могат да се поставят в общ контекст. Тази липса на цялост и последователност в </w:t>
      </w:r>
      <w:r>
        <w:rPr>
          <w:rFonts w:ascii="Times New Roman" w:hAnsi="Times New Roman" w:cs="Times New Roman"/>
          <w:color w:val="auto"/>
          <w:lang w:eastAsia="bg-BG"/>
        </w:rPr>
        <w:t xml:space="preserve">плановете и </w:t>
      </w:r>
      <w:r w:rsidRPr="008A2D93">
        <w:rPr>
          <w:rFonts w:ascii="Times New Roman" w:hAnsi="Times New Roman" w:cs="Times New Roman"/>
          <w:color w:val="auto"/>
          <w:lang w:eastAsia="bg-BG"/>
        </w:rPr>
        <w:t xml:space="preserve">действията се подсилва от отсъствието на анализ по изпълнението на текущите планове и мерки в сектор </w:t>
      </w:r>
      <w:r>
        <w:rPr>
          <w:rFonts w:ascii="Times New Roman" w:hAnsi="Times New Roman" w:cs="Times New Roman"/>
          <w:color w:val="auto"/>
          <w:lang w:eastAsia="bg-BG"/>
        </w:rPr>
        <w:t>„</w:t>
      </w:r>
      <w:r w:rsidRPr="008A2D93">
        <w:rPr>
          <w:rFonts w:ascii="Times New Roman" w:hAnsi="Times New Roman" w:cs="Times New Roman"/>
          <w:color w:val="auto"/>
          <w:lang w:eastAsia="bg-BG"/>
        </w:rPr>
        <w:t>Енергетика</w:t>
      </w:r>
      <w:r>
        <w:rPr>
          <w:rFonts w:ascii="Times New Roman" w:hAnsi="Times New Roman" w:cs="Times New Roman"/>
          <w:color w:val="auto"/>
          <w:lang w:eastAsia="bg-BG"/>
        </w:rPr>
        <w:t>”</w:t>
      </w:r>
      <w:r w:rsidRPr="008A2D93">
        <w:rPr>
          <w:rFonts w:ascii="Times New Roman" w:hAnsi="Times New Roman" w:cs="Times New Roman"/>
          <w:color w:val="auto"/>
          <w:lang w:eastAsia="bg-BG"/>
        </w:rPr>
        <w:t xml:space="preserve">, което да посочи силните и слаби страни и да мотивира обосновани предложения за продължаване на действията по </w:t>
      </w:r>
      <w:r>
        <w:rPr>
          <w:rFonts w:ascii="Times New Roman" w:hAnsi="Times New Roman" w:cs="Times New Roman"/>
          <w:color w:val="auto"/>
          <w:lang w:eastAsia="bg-BG"/>
        </w:rPr>
        <w:t xml:space="preserve">важни стратегически </w:t>
      </w:r>
      <w:r w:rsidRPr="008A2D93">
        <w:rPr>
          <w:rFonts w:ascii="Times New Roman" w:hAnsi="Times New Roman" w:cs="Times New Roman"/>
          <w:color w:val="auto"/>
          <w:lang w:eastAsia="bg-BG"/>
        </w:rPr>
        <w:t xml:space="preserve">направления като </w:t>
      </w:r>
      <w:r w:rsidRPr="00092631">
        <w:rPr>
          <w:rFonts w:ascii="Times New Roman" w:hAnsi="Times New Roman" w:cs="Times New Roman"/>
          <w:i/>
          <w:iCs/>
          <w:color w:val="auto"/>
          <w:lang w:eastAsia="bg-BG"/>
        </w:rPr>
        <w:t>„разширяването на битовата газификация в страната“</w:t>
      </w:r>
      <w:r w:rsidRPr="008A2D93">
        <w:rPr>
          <w:rFonts w:ascii="Times New Roman" w:hAnsi="Times New Roman" w:cs="Times New Roman"/>
          <w:color w:val="auto"/>
          <w:lang w:eastAsia="bg-BG"/>
        </w:rPr>
        <w:t xml:space="preserve"> или </w:t>
      </w:r>
      <w:r w:rsidRPr="00092631">
        <w:rPr>
          <w:rFonts w:ascii="Times New Roman" w:hAnsi="Times New Roman" w:cs="Times New Roman"/>
          <w:i/>
          <w:iCs/>
          <w:color w:val="auto"/>
          <w:lang w:eastAsia="bg-BG"/>
        </w:rPr>
        <w:t>„насърчаване на разходноефективно основно саниране“</w:t>
      </w:r>
      <w:r w:rsidRPr="008A2D93">
        <w:rPr>
          <w:rFonts w:ascii="Times New Roman" w:hAnsi="Times New Roman" w:cs="Times New Roman"/>
          <w:color w:val="auto"/>
          <w:lang w:eastAsia="bg-BG"/>
        </w:rPr>
        <w:t xml:space="preserve"> или</w:t>
      </w:r>
      <w:r>
        <w:rPr>
          <w:rFonts w:ascii="Times New Roman" w:hAnsi="Times New Roman" w:cs="Times New Roman"/>
          <w:color w:val="auto"/>
          <w:lang w:eastAsia="bg-BG"/>
        </w:rPr>
        <w:t xml:space="preserve"> създаване на обективни нормативни условия за изпълнение на </w:t>
      </w:r>
      <w:r w:rsidRPr="00092631">
        <w:rPr>
          <w:rFonts w:ascii="Times New Roman" w:hAnsi="Times New Roman" w:cs="Times New Roman"/>
          <w:i/>
          <w:iCs/>
          <w:color w:val="auto"/>
          <w:lang w:eastAsia="bg-BG"/>
        </w:rPr>
        <w:t>„изисквания</w:t>
      </w:r>
      <w:r>
        <w:rPr>
          <w:rFonts w:ascii="Times New Roman" w:hAnsi="Times New Roman" w:cs="Times New Roman"/>
          <w:i/>
          <w:iCs/>
          <w:color w:val="auto"/>
          <w:lang w:eastAsia="bg-BG"/>
        </w:rPr>
        <w:t>та</w:t>
      </w:r>
      <w:r w:rsidRPr="00092631">
        <w:rPr>
          <w:rFonts w:ascii="Times New Roman" w:hAnsi="Times New Roman" w:cs="Times New Roman"/>
          <w:i/>
          <w:iCs/>
          <w:color w:val="auto"/>
          <w:lang w:eastAsia="bg-BG"/>
        </w:rPr>
        <w:t xml:space="preserve"> към задължените лица</w:t>
      </w:r>
      <w:r>
        <w:rPr>
          <w:rFonts w:ascii="Times New Roman" w:hAnsi="Times New Roman" w:cs="Times New Roman"/>
          <w:i/>
          <w:iCs/>
          <w:color w:val="auto"/>
          <w:lang w:eastAsia="bg-BG"/>
        </w:rPr>
        <w:t xml:space="preserve"> по смисъла на чл....ат Закона за енергийната ефективност </w:t>
      </w:r>
      <w:r w:rsidRPr="00092631">
        <w:rPr>
          <w:rFonts w:ascii="Times New Roman" w:hAnsi="Times New Roman" w:cs="Times New Roman"/>
          <w:i/>
          <w:iCs/>
          <w:color w:val="auto"/>
          <w:lang w:eastAsia="bg-BG"/>
        </w:rPr>
        <w:t>“</w:t>
      </w:r>
      <w:r w:rsidRPr="008A2D93">
        <w:rPr>
          <w:rFonts w:ascii="Times New Roman" w:hAnsi="Times New Roman" w:cs="Times New Roman"/>
          <w:color w:val="auto"/>
          <w:lang w:eastAsia="bg-BG"/>
        </w:rPr>
        <w:t xml:space="preserve"> и т.н.</w:t>
      </w:r>
    </w:p>
    <w:p w:rsidR="00173C23" w:rsidRDefault="00173C23" w:rsidP="000A6439">
      <w:pPr>
        <w:spacing w:after="120"/>
        <w:rPr>
          <w:lang w:val="ru-RU"/>
        </w:rPr>
      </w:pPr>
    </w:p>
    <w:p w:rsidR="00173C23" w:rsidRPr="008934D6" w:rsidRDefault="00173C23" w:rsidP="002512B5">
      <w:pPr>
        <w:spacing w:after="120"/>
        <w:ind w:firstLine="720"/>
        <w:rPr>
          <w:lang w:val="ru-RU"/>
        </w:rPr>
      </w:pPr>
      <w:r w:rsidRPr="008934D6">
        <w:rPr>
          <w:lang w:val="ru-RU"/>
        </w:rPr>
        <w:t xml:space="preserve">Подробно са описани документите, на основата на които се прилага политиката на България по отношение на енергийната ефективност, възобновяемите енергийни източници (ВЕИ) и политики срещу изменение на климата към настоящия момент. Няма обаче критичен анализ на резултатите от прилаганите политики и мерки, както и насоки на необходимите промени. </w:t>
      </w:r>
    </w:p>
    <w:p w:rsidR="00173C23" w:rsidRPr="008934D6" w:rsidRDefault="00173C23" w:rsidP="002512B5">
      <w:pPr>
        <w:spacing w:after="120"/>
        <w:ind w:firstLine="720"/>
        <w:jc w:val="both"/>
        <w:rPr>
          <w:b/>
          <w:lang w:val="ru-RU"/>
        </w:rPr>
      </w:pPr>
      <w:r w:rsidRPr="008934D6">
        <w:rPr>
          <w:b/>
          <w:lang w:val="ru-RU"/>
        </w:rPr>
        <w:t>Прогнозиране и горивно-енергиен баланс</w:t>
      </w:r>
    </w:p>
    <w:p w:rsidR="00173C23" w:rsidRPr="008934D6" w:rsidRDefault="00173C23" w:rsidP="002512B5">
      <w:pPr>
        <w:spacing w:after="120"/>
        <w:ind w:firstLine="720"/>
        <w:jc w:val="both"/>
        <w:rPr>
          <w:lang w:val="ru-RU"/>
        </w:rPr>
      </w:pPr>
      <w:r w:rsidRPr="008934D6">
        <w:rPr>
          <w:lang w:val="ru-RU"/>
        </w:rPr>
        <w:t xml:space="preserve">Продължава да липсва ясно представяне на използваните модели за прогнозиране на енергийното потребление по сектори. Разбирането на тези модели би позволило коментар към определената базова линия, различните сценарии за развитие, разходите и ползите от предложените мерки по сектори. За съжаление, подобно секторно моделиране „отдолу нагоре“ липсва, което е един от основните недостатъци на Плана и не позволява коментари върху реалистичността на заложените цели. </w:t>
      </w:r>
    </w:p>
    <w:p w:rsidR="00173C23" w:rsidRPr="008934D6" w:rsidRDefault="00173C23" w:rsidP="002512B5">
      <w:pPr>
        <w:spacing w:after="120"/>
        <w:ind w:firstLine="720"/>
        <w:jc w:val="both"/>
        <w:rPr>
          <w:lang w:val="ru-RU"/>
        </w:rPr>
      </w:pPr>
      <w:r w:rsidRPr="008934D6">
        <w:rPr>
          <w:lang w:val="ru-RU"/>
        </w:rPr>
        <w:t>Показателен пример в тази връзка е пълното игнориране на прогнозата на “Булгатрансгаз” за потреблението на природен газ в 10-годишния план за развитие на газопреносната мрежа на дружеството през периода 2019 – 2028 г. Не са оценени и ефектите от диверсификация на източниците и конкуренцията на пазара  на природен газ в страната в контекста на понижаване на неговата цена за българските потребители и свързания с това ръст на потребление. Оценката на тези фактори би променила съществено горивно-енергийния баланс на страната и плановете за изграждане на енергийни мощности.</w:t>
      </w:r>
    </w:p>
    <w:p w:rsidR="00173C23" w:rsidRPr="008934D6" w:rsidRDefault="00173C23" w:rsidP="002512B5">
      <w:pPr>
        <w:spacing w:after="120"/>
        <w:ind w:firstLine="720"/>
        <w:jc w:val="both"/>
        <w:rPr>
          <w:b/>
          <w:lang w:val="ru-RU"/>
        </w:rPr>
      </w:pPr>
      <w:r w:rsidRPr="008934D6">
        <w:rPr>
          <w:b/>
          <w:lang w:val="ru-RU"/>
        </w:rPr>
        <w:t>Финансови механизми</w:t>
      </w:r>
    </w:p>
    <w:p w:rsidR="00173C23" w:rsidRPr="008934D6" w:rsidRDefault="00173C23" w:rsidP="002512B5">
      <w:pPr>
        <w:spacing w:after="120"/>
        <w:ind w:firstLine="720"/>
        <w:jc w:val="both"/>
        <w:rPr>
          <w:lang w:val="ru-RU"/>
        </w:rPr>
      </w:pPr>
      <w:r w:rsidRPr="008934D6">
        <w:rPr>
          <w:lang w:val="ru-RU"/>
        </w:rPr>
        <w:t>На финансирането продължава да бъде отделено най-малко внимание, а то е основен фактор за изпълнението на всяка една планирана политика. Освен оценка на потенциалната икономия на енергия и на намалението на емисиите, трябва да се направи и финансова оценка на инвестициите и ползите.Това ще очертае  финансовата рамка на Плана и ще спомогне да се определят ориентировъчно инвестиционните разходи за осъществяването на посочените мерки по всички измерения. В измерение „Енергийна ефективност” продължаваме да имаме списък с наличните източници на финансиране, като само за някои от тях има заложен окрупнен капацитет, без разпределение по сектори, което затруднява по-нататъшното планиране. В допълнение към казаното до сега, между заложените цели и анализа на инвестиционните нужди има значителни разминавания.</w:t>
      </w:r>
    </w:p>
    <w:p w:rsidR="00173C23" w:rsidRPr="00B67130" w:rsidRDefault="00173C23" w:rsidP="002512B5">
      <w:pPr>
        <w:pStyle w:val="ydp259baa16msonormal"/>
        <w:ind w:firstLine="720"/>
        <w:rPr>
          <w:rFonts w:ascii="Times New Roman" w:hAnsi="Times New Roman"/>
          <w:b/>
          <w:lang w:val="ru-RU"/>
        </w:rPr>
      </w:pPr>
      <w:r w:rsidRPr="00B67130">
        <w:rPr>
          <w:rFonts w:ascii="Times New Roman" w:hAnsi="Times New Roman"/>
          <w:b/>
          <w:lang w:val="ru-RU"/>
        </w:rPr>
        <w:t>Мерни единици и реферирани документи</w:t>
      </w:r>
    </w:p>
    <w:p w:rsidR="00173C23" w:rsidRDefault="00173C23" w:rsidP="00BD66E7">
      <w:pPr>
        <w:pStyle w:val="ydp259baa16msonormal"/>
        <w:rPr>
          <w:rFonts w:ascii="Times New Roman" w:hAnsi="Times New Roman"/>
          <w:lang w:val="ru-RU"/>
        </w:rPr>
      </w:pPr>
    </w:p>
    <w:p w:rsidR="00173C23" w:rsidRPr="00B67130" w:rsidRDefault="00173C23" w:rsidP="00FA70C6">
      <w:pPr>
        <w:pStyle w:val="ydp259baa16msonormal"/>
        <w:ind w:firstLine="720"/>
        <w:rPr>
          <w:rFonts w:ascii="Times New Roman" w:hAnsi="Times New Roman"/>
          <w:sz w:val="20"/>
          <w:szCs w:val="20"/>
          <w:lang w:val="bg-BG"/>
        </w:rPr>
      </w:pPr>
      <w:r w:rsidRPr="00B67130">
        <w:rPr>
          <w:rFonts w:ascii="Times New Roman" w:hAnsi="Times New Roman"/>
          <w:lang w:val="ru-RU"/>
        </w:rPr>
        <w:t>Без да се фокусираме върху някои пропуски или неясноти, което е допустимо при такъв обемен материал, ще отбележим, че все още не са уеднаквени мерните единици, които се използват при анализите в различните измерения и дори в едно и също измерение. В този вариант на плана, по отношение на енергийната ефективност (2.2 Измерение„ Енергийна ефективност“, стр. 73), в табл. 18 и 19 е използвана „</w:t>
      </w:r>
      <w:r w:rsidRPr="00B67130">
        <w:rPr>
          <w:rFonts w:ascii="Times New Roman" w:hAnsi="Times New Roman"/>
        </w:rPr>
        <w:t>ktoe</w:t>
      </w:r>
      <w:r w:rsidRPr="00B67130">
        <w:rPr>
          <w:rFonts w:ascii="Times New Roman" w:hAnsi="Times New Roman"/>
          <w:lang w:val="ru-RU"/>
        </w:rPr>
        <w:t xml:space="preserve">”, а в табл. 20 - </w:t>
      </w:r>
      <w:r w:rsidRPr="00B67130">
        <w:rPr>
          <w:rFonts w:ascii="Times New Roman" w:hAnsi="Times New Roman"/>
        </w:rPr>
        <w:t>GWh</w:t>
      </w:r>
      <w:r w:rsidRPr="00B67130">
        <w:rPr>
          <w:rFonts w:ascii="Times New Roman" w:hAnsi="Times New Roman"/>
          <w:lang w:val="ru-RU"/>
        </w:rPr>
        <w:t xml:space="preserve">. </w:t>
      </w:r>
      <w:r w:rsidRPr="00B67130">
        <w:rPr>
          <w:rFonts w:ascii="Times New Roman" w:hAnsi="Times New Roman"/>
          <w:lang w:val="bg-BG"/>
        </w:rPr>
        <w:t xml:space="preserve">Емисиите на на въглероден диоксид на едни места са в </w:t>
      </w:r>
      <w:r w:rsidRPr="00B67130">
        <w:rPr>
          <w:rFonts w:ascii="Times New Roman" w:hAnsi="Times New Roman"/>
        </w:rPr>
        <w:t>Gg</w:t>
      </w:r>
      <w:r w:rsidRPr="00B67130">
        <w:rPr>
          <w:rFonts w:ascii="Times New Roman" w:hAnsi="Times New Roman"/>
          <w:lang w:val="ru-RU"/>
        </w:rPr>
        <w:t xml:space="preserve">, </w:t>
      </w:r>
      <w:r w:rsidRPr="00B67130">
        <w:rPr>
          <w:rFonts w:ascii="Times New Roman" w:hAnsi="Times New Roman"/>
          <w:lang w:val="bg-BG"/>
        </w:rPr>
        <w:t xml:space="preserve">другаде в </w:t>
      </w:r>
      <w:r w:rsidRPr="008934D6">
        <w:rPr>
          <w:rFonts w:ascii="Times New Roman" w:hAnsi="Times New Roman"/>
          <w:lang w:val="ru-RU"/>
        </w:rPr>
        <w:t>“</w:t>
      </w:r>
      <w:r w:rsidRPr="00B67130">
        <w:rPr>
          <w:rFonts w:ascii="Times New Roman" w:hAnsi="Times New Roman"/>
          <w:lang w:val="bg-BG"/>
        </w:rPr>
        <w:t>к</w:t>
      </w:r>
      <w:r>
        <w:rPr>
          <w:rFonts w:ascii="Times New Roman" w:hAnsi="Times New Roman"/>
        </w:rPr>
        <w:t>toe</w:t>
      </w:r>
      <w:r w:rsidRPr="008934D6">
        <w:rPr>
          <w:rFonts w:ascii="Times New Roman" w:hAnsi="Times New Roman"/>
          <w:lang w:val="ru-RU"/>
        </w:rPr>
        <w:t>”</w:t>
      </w:r>
      <w:r w:rsidRPr="00B67130">
        <w:rPr>
          <w:rFonts w:ascii="Times New Roman" w:hAnsi="Times New Roman"/>
          <w:lang w:val="bg-BG"/>
        </w:rPr>
        <w:t xml:space="preserve">. </w:t>
      </w:r>
    </w:p>
    <w:p w:rsidR="00173C23" w:rsidRPr="00B67130" w:rsidRDefault="00173C23" w:rsidP="000A6439">
      <w:pPr>
        <w:pStyle w:val="ydp259baa16msonormal"/>
        <w:ind w:firstLine="720"/>
        <w:rPr>
          <w:rFonts w:ascii="Times New Roman" w:hAnsi="Times New Roman"/>
          <w:sz w:val="20"/>
          <w:szCs w:val="20"/>
          <w:lang w:val="ru-RU"/>
        </w:rPr>
      </w:pPr>
      <w:r w:rsidRPr="00B67130">
        <w:rPr>
          <w:rFonts w:ascii="Times New Roman" w:hAnsi="Times New Roman"/>
          <w:lang w:val="bg-BG"/>
        </w:rPr>
        <w:t xml:space="preserve">Има редица текстове от по 0,5 – 1 стр. (и повече), които се повтарят по няколко пъти в доклада и затрудняват четенето. Това води до много повторения – например облекченията за инсталации до </w:t>
      </w:r>
      <w:r w:rsidRPr="00B67130">
        <w:rPr>
          <w:rFonts w:ascii="Times New Roman" w:hAnsi="Times New Roman"/>
          <w:lang w:val="ru-RU"/>
        </w:rPr>
        <w:t xml:space="preserve">30 </w:t>
      </w:r>
      <w:r w:rsidRPr="00B67130">
        <w:rPr>
          <w:rFonts w:ascii="Times New Roman" w:hAnsi="Times New Roman"/>
        </w:rPr>
        <w:t>kW</w:t>
      </w:r>
      <w:r w:rsidRPr="00B67130">
        <w:rPr>
          <w:rFonts w:ascii="Times New Roman" w:hAnsi="Times New Roman"/>
          <w:lang w:val="bg-BG"/>
        </w:rPr>
        <w:t xml:space="preserve"> са коментирани 4 пъти (стр. 24, 111, 114 и 115). Добре би било при необходимост да се посочи страницата, на която първо е даден съответния текст. </w:t>
      </w:r>
    </w:p>
    <w:p w:rsidR="00173C23" w:rsidRDefault="00173C23" w:rsidP="000A6439">
      <w:pPr>
        <w:pStyle w:val="ydp259baa16msonormal"/>
        <w:ind w:firstLine="720"/>
        <w:rPr>
          <w:lang w:val="bg-BG"/>
        </w:rPr>
      </w:pPr>
      <w:r w:rsidRPr="00B67130">
        <w:rPr>
          <w:rFonts w:ascii="Times New Roman" w:hAnsi="Times New Roman"/>
          <w:lang w:val="bg-BG"/>
        </w:rPr>
        <w:t>Посочено е, че са използвани документи, чийито срок е изтекъл и нямат отношение към периода 2021 – 2030 год. (</w:t>
      </w:r>
      <w:r w:rsidRPr="00B67130">
        <w:rPr>
          <w:rFonts w:ascii="Times New Roman" w:hAnsi="Times New Roman"/>
          <w:i/>
          <w:iCs/>
          <w:lang w:val="bg-BG"/>
        </w:rPr>
        <w:t>Енергийната стратегия на РБ до 2020 год., Национален план по енергийна ефективност и Трети национален план за действия по изменение на климата</w:t>
      </w:r>
      <w:r>
        <w:rPr>
          <w:lang w:val="bg-BG"/>
        </w:rPr>
        <w:t>).</w:t>
      </w:r>
    </w:p>
    <w:p w:rsidR="00173C23" w:rsidRPr="009D4C2F" w:rsidRDefault="00173C23" w:rsidP="000A6439">
      <w:pPr>
        <w:pStyle w:val="ydp259baa16msonormal"/>
        <w:ind w:firstLine="720"/>
        <w:rPr>
          <w:rFonts w:ascii="Helvetica" w:hAnsi="Helvetica" w:cs="Helvetica"/>
          <w:sz w:val="20"/>
          <w:szCs w:val="20"/>
          <w:lang w:val="bg-BG"/>
        </w:rPr>
      </w:pPr>
    </w:p>
    <w:p w:rsidR="00173C23" w:rsidRPr="009D4C2F" w:rsidRDefault="00173C23" w:rsidP="000A6439">
      <w:pPr>
        <w:pStyle w:val="Default"/>
        <w:numPr>
          <w:ilvl w:val="0"/>
          <w:numId w:val="22"/>
        </w:numPr>
        <w:spacing w:after="120"/>
        <w:rPr>
          <w:rFonts w:ascii="Times New Roman" w:hAnsi="Times New Roman" w:cs="Times New Roman"/>
          <w:b/>
          <w:bCs/>
          <w:color w:val="auto"/>
          <w:sz w:val="28"/>
          <w:szCs w:val="28"/>
          <w:lang w:eastAsia="bg-BG"/>
        </w:rPr>
      </w:pPr>
      <w:r w:rsidRPr="009D4C2F">
        <w:rPr>
          <w:rFonts w:ascii="Times New Roman" w:hAnsi="Times New Roman" w:cs="Times New Roman"/>
          <w:b/>
          <w:bCs/>
          <w:color w:val="auto"/>
          <w:sz w:val="28"/>
          <w:szCs w:val="28"/>
          <w:lang w:eastAsia="bg-BG"/>
        </w:rPr>
        <w:t xml:space="preserve">Измерение „Декарбонизация“ </w:t>
      </w:r>
    </w:p>
    <w:p w:rsidR="00173C23" w:rsidRPr="00E02C77" w:rsidRDefault="00173C23" w:rsidP="000A6439">
      <w:pPr>
        <w:pStyle w:val="Default"/>
        <w:numPr>
          <w:ilvl w:val="1"/>
          <w:numId w:val="22"/>
        </w:numPr>
        <w:spacing w:after="120"/>
        <w:rPr>
          <w:rFonts w:ascii="Times New Roman" w:hAnsi="Times New Roman" w:cs="Times New Roman"/>
          <w:b/>
          <w:color w:val="auto"/>
          <w:lang w:eastAsia="bg-BG"/>
        </w:rPr>
      </w:pPr>
      <w:r w:rsidRPr="00E02C77">
        <w:rPr>
          <w:rFonts w:ascii="Times New Roman" w:hAnsi="Times New Roman" w:cs="Times New Roman"/>
          <w:b/>
          <w:color w:val="auto"/>
          <w:lang w:eastAsia="bg-BG"/>
        </w:rPr>
        <w:t>Производство на енергия</w:t>
      </w:r>
    </w:p>
    <w:p w:rsidR="00173C23" w:rsidRPr="00B67130" w:rsidRDefault="00173C23" w:rsidP="002512B5">
      <w:pPr>
        <w:pStyle w:val="ydp259baa16msonormal"/>
        <w:ind w:firstLine="720"/>
        <w:rPr>
          <w:rFonts w:ascii="Times New Roman" w:hAnsi="Times New Roman"/>
          <w:b/>
          <w:bCs/>
          <w:lang w:val="bg-BG"/>
        </w:rPr>
      </w:pPr>
      <w:r w:rsidRPr="00B67130">
        <w:rPr>
          <w:rFonts w:ascii="Times New Roman" w:hAnsi="Times New Roman"/>
          <w:lang w:val="ru-RU" w:eastAsia="bg-BG"/>
        </w:rPr>
        <w:t>В началото следва да се посочи липсата на последователен подход при използване на статистически данни, въпреки заявката за прилагане на „</w:t>
      </w:r>
      <w:r w:rsidRPr="00B67130">
        <w:rPr>
          <w:rFonts w:ascii="Times New Roman" w:hAnsi="Times New Roman"/>
          <w:i/>
          <w:iCs/>
          <w:lang w:val="ru-RU" w:eastAsia="bg-BG"/>
        </w:rPr>
        <w:t>Интегриран подход за моделиране на използваната енергията, развитие на икономиката и околната среда, основани на исторически данни и прогнози, насочени към отразяване на възможно най-реалистично развитие на икономиката и обществото на страната</w:t>
      </w:r>
      <w:r w:rsidRPr="00B67130">
        <w:rPr>
          <w:rFonts w:ascii="Times New Roman" w:hAnsi="Times New Roman"/>
          <w:lang w:val="ru-RU" w:eastAsia="bg-BG"/>
        </w:rPr>
        <w:t>“. В различните части на плана се използват различни периоди: при обсъждане на емисии на газове се прилагат дълги периоди от 1990 или от 2000 година; при обсъждане на енергийното потребление периодът е 2012-2018; за структурата на производство се правят сравнения между 2017 и 2018 година; за сравнение на цени се използва периода 2015-2018. Този, наглед второстепен</w:t>
      </w:r>
      <w:r>
        <w:rPr>
          <w:rFonts w:ascii="Times New Roman" w:hAnsi="Times New Roman"/>
          <w:lang w:val="ru-RU" w:eastAsia="bg-BG"/>
        </w:rPr>
        <w:t>ен</w:t>
      </w:r>
      <w:r w:rsidRPr="00B67130">
        <w:rPr>
          <w:rFonts w:ascii="Times New Roman" w:hAnsi="Times New Roman"/>
          <w:lang w:val="ru-RU" w:eastAsia="bg-BG"/>
        </w:rPr>
        <w:t xml:space="preserve"> въпрос, в някои случаи придобива определящо значение. Например твърдението „</w:t>
      </w:r>
      <w:r w:rsidRPr="00B67130">
        <w:rPr>
          <w:rFonts w:ascii="Times New Roman" w:hAnsi="Times New Roman"/>
          <w:i/>
          <w:iCs/>
          <w:lang w:val="ru-RU" w:eastAsia="bg-BG"/>
        </w:rPr>
        <w:t>от 2005 г. до 2018 г. България отчита значително намаление на крайната енергийната интензивност, което се дължи както на промени в икономическата структура, така и на провежданата политика и прилаганите мерки за енергийна ефективност във всички икономически сектори. България ще продължи тази устойчива намаляваща тенденция на крайната енергийна интензивност в периода 2020-2040 г.</w:t>
      </w:r>
      <w:r w:rsidRPr="00B67130">
        <w:rPr>
          <w:rFonts w:ascii="Times New Roman" w:hAnsi="Times New Roman"/>
          <w:lang w:val="ru-RU" w:eastAsia="bg-BG"/>
        </w:rPr>
        <w:t>“, фактически обвързва две напълно самостоятелни теми – затварянето на големи губещи предприятия и спиране на губещи производства у нас в периода до 2010 година и мерките за енергийна ефективност в индустрията, предприети след</w:t>
      </w:r>
      <w:r w:rsidRPr="00091769">
        <w:rPr>
          <w:lang w:val="ru-RU" w:eastAsia="bg-BG"/>
        </w:rPr>
        <w:t xml:space="preserve"> </w:t>
      </w:r>
      <w:r w:rsidRPr="00B67130">
        <w:rPr>
          <w:rFonts w:ascii="Times New Roman" w:hAnsi="Times New Roman"/>
          <w:lang w:val="ru-RU" w:eastAsia="bg-BG"/>
        </w:rPr>
        <w:t>2007 година. По-скоро вярното е, че П по-голяма част от сега работещите предприятия мерките за енергийна ефективност са достигнали своето ниво на рационалност и предвиждането на последващо намаление на енергийната интензивност е преувеличено.</w:t>
      </w:r>
      <w:r w:rsidRPr="00B67130">
        <w:rPr>
          <w:rFonts w:ascii="Times New Roman" w:hAnsi="Times New Roman"/>
          <w:b/>
          <w:bCs/>
          <w:lang w:val="bg-BG"/>
        </w:rPr>
        <w:t xml:space="preserve"> </w:t>
      </w:r>
    </w:p>
    <w:p w:rsidR="00173C23" w:rsidRPr="00B67130" w:rsidRDefault="00173C23" w:rsidP="002512B5">
      <w:pPr>
        <w:pStyle w:val="ydp259baa16msonormal"/>
        <w:ind w:firstLine="720"/>
        <w:rPr>
          <w:rFonts w:ascii="Times New Roman" w:hAnsi="Times New Roman"/>
          <w:sz w:val="20"/>
          <w:szCs w:val="20"/>
          <w:lang w:val="ru-RU"/>
        </w:rPr>
      </w:pPr>
      <w:r w:rsidRPr="00B67130">
        <w:rPr>
          <w:rFonts w:ascii="Times New Roman" w:hAnsi="Times New Roman"/>
          <w:lang w:val="bg-BG"/>
        </w:rPr>
        <w:t xml:space="preserve">По отношение на производството на електроенергия в Плана нелогично се прогнозира ръст от </w:t>
      </w:r>
      <w:r w:rsidRPr="00B67130">
        <w:rPr>
          <w:rFonts w:ascii="Times New Roman" w:hAnsi="Times New Roman"/>
          <w:lang w:val="ru-RU"/>
        </w:rPr>
        <w:t xml:space="preserve">43 949 </w:t>
      </w:r>
      <w:r w:rsidRPr="00B67130">
        <w:rPr>
          <w:rFonts w:ascii="Times New Roman" w:hAnsi="Times New Roman"/>
        </w:rPr>
        <w:t>GWh</w:t>
      </w:r>
      <w:r w:rsidRPr="00B67130">
        <w:rPr>
          <w:rFonts w:ascii="Times New Roman" w:hAnsi="Times New Roman"/>
          <w:lang w:val="ru-RU"/>
        </w:rPr>
        <w:t xml:space="preserve"> </w:t>
      </w:r>
      <w:r w:rsidRPr="00B67130">
        <w:rPr>
          <w:rFonts w:ascii="Times New Roman" w:hAnsi="Times New Roman"/>
          <w:lang w:val="bg-BG"/>
        </w:rPr>
        <w:t xml:space="preserve">през 2020 год. до </w:t>
      </w:r>
      <w:r w:rsidRPr="00B67130">
        <w:rPr>
          <w:rFonts w:ascii="Times New Roman" w:hAnsi="Times New Roman"/>
          <w:lang w:val="ru-RU"/>
        </w:rPr>
        <w:t>4</w:t>
      </w:r>
      <w:r w:rsidRPr="00B67130">
        <w:rPr>
          <w:rFonts w:ascii="Times New Roman" w:hAnsi="Times New Roman"/>
          <w:lang w:val="bg-BG"/>
        </w:rPr>
        <w:t>7 732</w:t>
      </w:r>
      <w:r w:rsidRPr="00B67130">
        <w:rPr>
          <w:rFonts w:ascii="Times New Roman" w:hAnsi="Times New Roman"/>
          <w:lang w:val="ru-RU"/>
        </w:rPr>
        <w:t xml:space="preserve"> </w:t>
      </w:r>
      <w:r w:rsidRPr="00B67130">
        <w:rPr>
          <w:rFonts w:ascii="Times New Roman" w:hAnsi="Times New Roman"/>
        </w:rPr>
        <w:t>GWh</w:t>
      </w:r>
      <w:r w:rsidRPr="00B67130">
        <w:rPr>
          <w:rFonts w:ascii="Times New Roman" w:hAnsi="Times New Roman"/>
          <w:lang w:val="ru-RU"/>
        </w:rPr>
        <w:t xml:space="preserve"> </w:t>
      </w:r>
      <w:r w:rsidRPr="00B67130">
        <w:rPr>
          <w:rFonts w:ascii="Times New Roman" w:hAnsi="Times New Roman"/>
          <w:lang w:val="bg-BG"/>
        </w:rPr>
        <w:t>през 2030 год.  и до 50 957</w:t>
      </w:r>
      <w:r w:rsidRPr="00B67130">
        <w:rPr>
          <w:rFonts w:ascii="Times New Roman" w:hAnsi="Times New Roman"/>
          <w:lang w:val="ru-RU"/>
        </w:rPr>
        <w:t xml:space="preserve"> </w:t>
      </w:r>
      <w:r w:rsidRPr="00B67130">
        <w:rPr>
          <w:rFonts w:ascii="Times New Roman" w:hAnsi="Times New Roman"/>
        </w:rPr>
        <w:t>GWh</w:t>
      </w:r>
      <w:r w:rsidRPr="00B67130">
        <w:rPr>
          <w:rFonts w:ascii="Times New Roman" w:hAnsi="Times New Roman"/>
          <w:lang w:val="ru-RU"/>
        </w:rPr>
        <w:t xml:space="preserve"> </w:t>
      </w:r>
      <w:r w:rsidRPr="00B67130">
        <w:rPr>
          <w:rFonts w:ascii="Times New Roman" w:hAnsi="Times New Roman"/>
          <w:lang w:val="bg-BG"/>
        </w:rPr>
        <w:t>през 2040 год., т.е. среден ръст от 0,8% годишно. Този ръст изглежда необоснован, като се има предвид, че от 2017 година до 2019 год. по данни на ЕСО производството устойчиво е намаляло с над 5%. През първите два месеца на 2020 год. също се регистрира намаление с над 13%.</w:t>
      </w:r>
    </w:p>
    <w:p w:rsidR="00173C23" w:rsidRPr="00B67130" w:rsidRDefault="00173C23" w:rsidP="002512B5">
      <w:pPr>
        <w:pStyle w:val="ydp259baa16msonormal"/>
        <w:ind w:firstLine="720"/>
        <w:rPr>
          <w:rFonts w:ascii="Times New Roman" w:hAnsi="Times New Roman"/>
          <w:sz w:val="20"/>
          <w:szCs w:val="20"/>
          <w:lang w:val="ru-RU"/>
        </w:rPr>
      </w:pPr>
      <w:r w:rsidRPr="00B67130">
        <w:rPr>
          <w:rFonts w:ascii="Times New Roman" w:hAnsi="Times New Roman"/>
          <w:lang w:val="bg-BG"/>
        </w:rPr>
        <w:t>Вътрешно потребление на електроенергия към 2030 год.се прогнозира увеличение с 11%. На фона на намаляването му през 2018 и 2019 год. както и за първите два месеца на 2020 год., тази прогноза също изглежда нереалистична.</w:t>
      </w:r>
    </w:p>
    <w:p w:rsidR="00173C23" w:rsidRPr="00B67130" w:rsidRDefault="00173C23" w:rsidP="002512B5">
      <w:pPr>
        <w:pStyle w:val="ydp259baa16msonormal"/>
        <w:ind w:firstLine="720"/>
        <w:rPr>
          <w:rFonts w:ascii="Times New Roman" w:hAnsi="Times New Roman"/>
          <w:b/>
          <w:bCs/>
          <w:lang w:val="bg-BG"/>
        </w:rPr>
      </w:pPr>
      <w:r w:rsidRPr="00B67130">
        <w:rPr>
          <w:rFonts w:ascii="Times New Roman" w:hAnsi="Times New Roman"/>
          <w:lang w:val="bg-BG"/>
        </w:rPr>
        <w:t>Износът на електроенергия също е планиран със среден нетен ръст от 8 млрд. кВтч без никаква обосновка. Тази цифра изглежда също така нереална като се има предвид, че през последните четири години средният износ е бил под 6,4 млрд кВтч. Освен това през втората половина на 2019 год. започна рязко намаляване на износа и за цялата 2019 год. той намаля с над 25%. Това вероятно се дължи на ускореното развитие на ВЕИ главно в Турция и по-евтината електроенергия от тях, което не е отчетено. За първите два месеца нетният износ е символичен – средно 76 МВт (износ 8 млрд изисква среден износ от около 900 МВт).</w:t>
      </w:r>
      <w:r w:rsidRPr="00B67130">
        <w:rPr>
          <w:rFonts w:ascii="Times New Roman" w:hAnsi="Times New Roman"/>
          <w:b/>
          <w:bCs/>
          <w:lang w:val="bg-BG"/>
        </w:rPr>
        <w:t xml:space="preserve"> </w:t>
      </w:r>
    </w:p>
    <w:p w:rsidR="00173C23" w:rsidRDefault="00173C23" w:rsidP="002512B5">
      <w:pPr>
        <w:pStyle w:val="ydp259baa16msonormal"/>
        <w:ind w:firstLine="720"/>
        <w:rPr>
          <w:rFonts w:ascii="Times New Roman" w:hAnsi="Times New Roman"/>
          <w:lang w:val="bg-BG"/>
        </w:rPr>
      </w:pPr>
      <w:r w:rsidRPr="00B67130">
        <w:rPr>
          <w:rFonts w:ascii="Times New Roman" w:hAnsi="Times New Roman"/>
          <w:lang w:val="bg-BG"/>
        </w:rPr>
        <w:t>Инсталираната мощност от 14600 МВт (стр. 80) и прогнозен максимален товар от 8100 МВт към 2030 година са убедително доказателство за неоптимално развитие на енергийната система. Съотношението е много по-високо, отколкото в развитите страни и е доказателство за неефективно управление на режимите на системата, постигано с големи системни разходи и поддържане на голям парк от капацитети. В модерните концепции за развитие тези свръхразходи се компенсират от приложение на технологии за „управление на потреблението” и инвестиране в интелигентни мрежи, които сериозно снижават системните разходи за управление.</w:t>
      </w:r>
    </w:p>
    <w:p w:rsidR="00173C23" w:rsidRPr="00B67130" w:rsidRDefault="00173C23" w:rsidP="000A6439">
      <w:pPr>
        <w:pStyle w:val="ydp259baa16msonormal"/>
        <w:rPr>
          <w:rFonts w:ascii="Times New Roman" w:hAnsi="Times New Roman"/>
          <w:sz w:val="20"/>
          <w:szCs w:val="20"/>
          <w:lang w:val="ru-RU"/>
        </w:rPr>
      </w:pPr>
    </w:p>
    <w:p w:rsidR="00173C23" w:rsidRPr="00E02C77" w:rsidRDefault="00173C23" w:rsidP="000A6439">
      <w:pPr>
        <w:pStyle w:val="Default"/>
        <w:numPr>
          <w:ilvl w:val="2"/>
          <w:numId w:val="22"/>
        </w:numPr>
        <w:spacing w:after="120"/>
        <w:rPr>
          <w:rFonts w:ascii="Times New Roman" w:hAnsi="Times New Roman" w:cs="Times New Roman"/>
          <w:b/>
          <w:color w:val="auto"/>
          <w:lang w:eastAsia="bg-BG"/>
        </w:rPr>
      </w:pPr>
      <w:r>
        <w:rPr>
          <w:rFonts w:ascii="Times New Roman" w:hAnsi="Times New Roman" w:cs="Times New Roman"/>
          <w:b/>
          <w:color w:val="auto"/>
          <w:lang w:eastAsia="bg-BG"/>
        </w:rPr>
        <w:t>Хидроенергия</w:t>
      </w:r>
    </w:p>
    <w:p w:rsidR="00173C23" w:rsidRDefault="00173C23" w:rsidP="002512B5">
      <w:pPr>
        <w:pStyle w:val="Default"/>
        <w:spacing w:after="120"/>
        <w:ind w:firstLine="720"/>
        <w:rPr>
          <w:rFonts w:ascii="Times New Roman" w:hAnsi="Times New Roman" w:cs="Times New Roman"/>
          <w:color w:val="auto"/>
          <w:lang w:eastAsia="bg-BG"/>
        </w:rPr>
      </w:pPr>
      <w:r w:rsidRPr="008A2D93">
        <w:rPr>
          <w:rFonts w:ascii="Times New Roman" w:hAnsi="Times New Roman" w:cs="Times New Roman"/>
          <w:color w:val="auto"/>
          <w:lang w:eastAsia="bg-BG"/>
        </w:rPr>
        <w:t>По същия начин следва да се обърне внимание и на заключението, че нови ВЕЦ не следва да се залагат в прогнозните планове, което се основава на на</w:t>
      </w:r>
      <w:r>
        <w:rPr>
          <w:rFonts w:ascii="Times New Roman" w:hAnsi="Times New Roman" w:cs="Times New Roman"/>
          <w:color w:val="auto"/>
          <w:lang w:eastAsia="bg-BG"/>
        </w:rPr>
        <w:t>б</w:t>
      </w:r>
      <w:r w:rsidRPr="008A2D93">
        <w:rPr>
          <w:rFonts w:ascii="Times New Roman" w:hAnsi="Times New Roman" w:cs="Times New Roman"/>
          <w:color w:val="auto"/>
          <w:lang w:eastAsia="bg-BG"/>
        </w:rPr>
        <w:t>людението, че „</w:t>
      </w:r>
      <w:r w:rsidRPr="008A2D93">
        <w:rPr>
          <w:rFonts w:ascii="Times New Roman" w:hAnsi="Times New Roman" w:cs="Times New Roman"/>
          <w:i/>
          <w:iCs/>
          <w:color w:val="auto"/>
          <w:lang w:eastAsia="bg-BG"/>
        </w:rPr>
        <w:t>производството на електрическа енергия от ВЕЦ в периода 2015–2020 г. намалява със 17%</w:t>
      </w:r>
      <w:r w:rsidRPr="008A2D93">
        <w:rPr>
          <w:rFonts w:ascii="Times New Roman" w:hAnsi="Times New Roman" w:cs="Times New Roman"/>
          <w:color w:val="auto"/>
          <w:lang w:eastAsia="bg-BG"/>
        </w:rPr>
        <w:t xml:space="preserve">“. </w:t>
      </w:r>
    </w:p>
    <w:p w:rsidR="00173C23" w:rsidRPr="008A2D93" w:rsidRDefault="00173C23" w:rsidP="002512B5">
      <w:pPr>
        <w:pStyle w:val="Default"/>
        <w:spacing w:after="120"/>
        <w:ind w:firstLine="720"/>
        <w:rPr>
          <w:rFonts w:ascii="Times New Roman" w:hAnsi="Times New Roman" w:cs="Times New Roman"/>
          <w:color w:val="auto"/>
          <w:lang w:eastAsia="bg-BG"/>
        </w:rPr>
      </w:pPr>
      <w:r w:rsidRPr="008A2D93">
        <w:rPr>
          <w:rFonts w:ascii="Times New Roman" w:hAnsi="Times New Roman" w:cs="Times New Roman"/>
          <w:color w:val="auto"/>
          <w:lang w:eastAsia="bg-BG"/>
        </w:rPr>
        <w:t xml:space="preserve">Известно е, че за оценка на ресурси от ВИ задължително следва да се оценява период от поне 10 години, а заключението, че нямаме ресурс за нови ВЕЦ, направено по отношение на кратък период, е  подвеждащо. </w:t>
      </w:r>
    </w:p>
    <w:p w:rsidR="00173C23" w:rsidRPr="00B67130" w:rsidRDefault="00173C23" w:rsidP="002512B5">
      <w:pPr>
        <w:pStyle w:val="ydp259baa16msonormal"/>
        <w:ind w:firstLine="720"/>
        <w:rPr>
          <w:rFonts w:ascii="Times New Roman" w:hAnsi="Times New Roman"/>
          <w:b/>
          <w:bCs/>
          <w:lang w:val="bg-BG"/>
        </w:rPr>
      </w:pPr>
      <w:r w:rsidRPr="00B67130">
        <w:rPr>
          <w:rFonts w:ascii="Times New Roman" w:hAnsi="Times New Roman"/>
          <w:lang w:val="ru-RU"/>
        </w:rPr>
        <w:t xml:space="preserve">В плана само е споменат </w:t>
      </w:r>
      <w:r w:rsidRPr="00B67130">
        <w:rPr>
          <w:rFonts w:ascii="Times New Roman" w:hAnsi="Times New Roman"/>
          <w:i/>
          <w:iCs/>
          <w:lang w:val="ru-RU"/>
        </w:rPr>
        <w:t>"Хидро-помпено акумулиращ проект в България – Яденица".</w:t>
      </w:r>
      <w:r w:rsidRPr="00B67130">
        <w:rPr>
          <w:rFonts w:ascii="Times New Roman" w:hAnsi="Times New Roman"/>
          <w:lang w:val="ru-RU"/>
        </w:rPr>
        <w:t xml:space="preserve"> Какво се планира да се случи до 2030 година? През 2009 г. в МЕ, по поръчка на МОСВ, бе извършен обстоен анализ и становище на тема "</w:t>
      </w:r>
      <w:r w:rsidRPr="00B67130">
        <w:rPr>
          <w:rFonts w:ascii="Times New Roman" w:hAnsi="Times New Roman"/>
          <w:i/>
          <w:iCs/>
          <w:noProof/>
          <w:lang w:val="ru-RU"/>
        </w:rPr>
        <w:t xml:space="preserve">Оползотворяване водните оттоци на трансграничните реки и притоците им в интерес на Р. България". </w:t>
      </w:r>
      <w:r w:rsidRPr="00B67130">
        <w:rPr>
          <w:rFonts w:ascii="Times New Roman" w:hAnsi="Times New Roman"/>
          <w:noProof/>
          <w:lang w:val="ru-RU"/>
        </w:rPr>
        <w:t xml:space="preserve">Заключенията на доклада са, че у нас има </w:t>
      </w:r>
      <w:r w:rsidRPr="00B67130">
        <w:rPr>
          <w:rFonts w:ascii="Times New Roman" w:hAnsi="Times New Roman"/>
          <w:lang w:val="ru-RU"/>
        </w:rPr>
        <w:t>неоползотворен воден ресурс: Такъв е случая например с река Места - една от реките с голям и неоползотворен воден ресурс. В същото време гръцката страна се възползва от споменатата ситуация и получава 84,3% вместо договорираните 29% от средния многогодишен воден отток и е изградила след 1996г. каскадно три язовира за водо-стопански цели и за овладяване на високи приливни води. Въпреки неравномерният характер на оттока на р. Места, липсата на  водозадържащи съоръжения за регулирането на водния приток, е причина над 700 млн.м3 от водите неоползотворени да напускат ежегодно южната ни граница. Има разработени проекти, но нито един не е реализиран.</w:t>
      </w:r>
      <w:r w:rsidRPr="00B67130">
        <w:rPr>
          <w:rFonts w:ascii="Times New Roman" w:hAnsi="Times New Roman"/>
          <w:b/>
          <w:bCs/>
          <w:lang w:val="bg-BG"/>
        </w:rPr>
        <w:t xml:space="preserve"> </w:t>
      </w:r>
    </w:p>
    <w:p w:rsidR="00173C23" w:rsidRPr="00B67130" w:rsidRDefault="00173C23" w:rsidP="002512B5">
      <w:pPr>
        <w:pStyle w:val="ydp259baa16msonormal"/>
        <w:ind w:firstLine="720"/>
        <w:rPr>
          <w:rFonts w:ascii="Times New Roman" w:hAnsi="Times New Roman"/>
          <w:sz w:val="20"/>
          <w:szCs w:val="20"/>
          <w:lang w:val="ru-RU"/>
        </w:rPr>
      </w:pPr>
      <w:r w:rsidRPr="00B67130">
        <w:rPr>
          <w:rFonts w:ascii="Times New Roman" w:hAnsi="Times New Roman"/>
          <w:lang w:val="bg-BG"/>
        </w:rPr>
        <w:t xml:space="preserve">Посочена е необходимостта </w:t>
      </w:r>
      <w:r w:rsidRPr="00B67130">
        <w:rPr>
          <w:rFonts w:ascii="Times New Roman" w:hAnsi="Times New Roman"/>
          <w:b/>
          <w:bCs/>
          <w:lang w:val="bg-BG"/>
        </w:rPr>
        <w:t>от</w:t>
      </w:r>
      <w:r w:rsidRPr="00B67130">
        <w:rPr>
          <w:rFonts w:ascii="Times New Roman" w:hAnsi="Times New Roman"/>
          <w:lang w:val="bg-BG"/>
        </w:rPr>
        <w:t xml:space="preserve"> разширение на помпено-акумулиращия капацитет на ПАВЕЦ Чаира чрез изграждане на язовир „Яденица” и свързването му, но не е посочен срок.</w:t>
      </w:r>
    </w:p>
    <w:p w:rsidR="00173C23" w:rsidRPr="00B67130" w:rsidRDefault="00173C23" w:rsidP="000A6439">
      <w:pPr>
        <w:pStyle w:val="Default"/>
        <w:spacing w:after="120"/>
        <w:rPr>
          <w:rFonts w:ascii="Times New Roman" w:hAnsi="Times New Roman" w:cs="Times New Roman"/>
          <w:color w:val="auto"/>
        </w:rPr>
      </w:pPr>
      <w:r w:rsidRPr="00B67130">
        <w:rPr>
          <w:rFonts w:ascii="Times New Roman" w:hAnsi="Times New Roman" w:cs="Times New Roman"/>
          <w:color w:val="auto"/>
        </w:rPr>
        <w:t>Напълно неоползотворен е ресурса и на река Дунав. Има разработени два проекти за изграждане на хидровъзли край гр. Никопол (ХВ „Турну Мъгуреле”) и гр. Силистра (ХВ „Силистра – Кълъраш”), но нищо не се планира.</w:t>
      </w:r>
    </w:p>
    <w:p w:rsidR="00173C23" w:rsidRPr="008A2D93" w:rsidRDefault="00173C23" w:rsidP="002512B5">
      <w:pPr>
        <w:pStyle w:val="Default"/>
        <w:spacing w:after="120"/>
        <w:ind w:firstLine="720"/>
        <w:rPr>
          <w:rFonts w:ascii="Times New Roman" w:hAnsi="Times New Roman" w:cs="Times New Roman"/>
          <w:color w:val="auto"/>
        </w:rPr>
      </w:pPr>
      <w:r w:rsidRPr="008A2D93">
        <w:rPr>
          <w:rFonts w:ascii="Times New Roman" w:hAnsi="Times New Roman" w:cs="Times New Roman"/>
          <w:color w:val="auto"/>
        </w:rPr>
        <w:t>И в двата споменати случая става дума за ВЕЦ на течаща вода - колкото и суха да е годината, това няма да попречи да се добива електроенергия, а има и редица други съпътстващи ползи.</w:t>
      </w:r>
    </w:p>
    <w:p w:rsidR="00173C23" w:rsidRPr="008A2D93" w:rsidRDefault="00173C23" w:rsidP="002512B5">
      <w:pPr>
        <w:pStyle w:val="Default"/>
        <w:spacing w:after="120"/>
        <w:ind w:firstLine="720"/>
        <w:rPr>
          <w:rFonts w:ascii="Times New Roman" w:hAnsi="Times New Roman" w:cs="Times New Roman"/>
          <w:color w:val="auto"/>
        </w:rPr>
      </w:pPr>
      <w:r w:rsidRPr="008A2D93">
        <w:rPr>
          <w:rFonts w:ascii="Times New Roman" w:hAnsi="Times New Roman" w:cs="Times New Roman"/>
          <w:color w:val="auto"/>
        </w:rPr>
        <w:t>Има недостатъчно оползотворен ресурс и за другите трансгранични реки - Тунджа, Струма, Арда.</w:t>
      </w:r>
      <w:r>
        <w:rPr>
          <w:rFonts w:ascii="Times New Roman" w:hAnsi="Times New Roman" w:cs="Times New Roman"/>
          <w:color w:val="auto"/>
        </w:rPr>
        <w:t xml:space="preserve"> За твърде напредналия в техническо отношение и важен за енергетиката на страната проект „Горна Арда” не се планира нищо, което най-малко изисква коментар за състоянието и бъдещето на този проект.</w:t>
      </w:r>
    </w:p>
    <w:p w:rsidR="00173C23" w:rsidRPr="00E02C77" w:rsidRDefault="00173C23" w:rsidP="000A6439">
      <w:pPr>
        <w:pStyle w:val="Default"/>
        <w:numPr>
          <w:ilvl w:val="2"/>
          <w:numId w:val="22"/>
        </w:numPr>
        <w:spacing w:after="120"/>
        <w:rPr>
          <w:rFonts w:ascii="Times New Roman" w:hAnsi="Times New Roman" w:cs="Times New Roman"/>
          <w:b/>
          <w:color w:val="auto"/>
        </w:rPr>
      </w:pPr>
      <w:r w:rsidRPr="00E02C77">
        <w:rPr>
          <w:rFonts w:ascii="Times New Roman" w:hAnsi="Times New Roman" w:cs="Times New Roman"/>
          <w:b/>
          <w:color w:val="auto"/>
        </w:rPr>
        <w:t xml:space="preserve">Въглищни технологии </w:t>
      </w:r>
    </w:p>
    <w:p w:rsidR="00173C23" w:rsidRPr="00B67130" w:rsidRDefault="00173C23" w:rsidP="002512B5">
      <w:pPr>
        <w:pStyle w:val="ydp259baa16msonormal"/>
        <w:ind w:firstLine="720"/>
        <w:rPr>
          <w:rFonts w:ascii="Times New Roman" w:hAnsi="Times New Roman"/>
          <w:sz w:val="20"/>
          <w:szCs w:val="20"/>
          <w:lang w:val="ru-RU"/>
        </w:rPr>
      </w:pPr>
      <w:r w:rsidRPr="00B67130">
        <w:rPr>
          <w:rFonts w:ascii="Times New Roman" w:hAnsi="Times New Roman"/>
          <w:lang w:val="bg-BG"/>
        </w:rPr>
        <w:t>Посоченият дял на електроенергията от ТЕЦ на въглища след 2025 год. (30% през 2030 год. и 15% през 2035 год.) е необоснован и нереалистичен с оглед на неяснотите относно предстоящото приложение на механизма за  капацитет и допустимите разходи.</w:t>
      </w:r>
    </w:p>
    <w:p w:rsidR="00173C23" w:rsidRPr="008A2D93" w:rsidRDefault="00173C23" w:rsidP="000A6439">
      <w:pPr>
        <w:pStyle w:val="Default"/>
        <w:spacing w:after="120"/>
        <w:rPr>
          <w:rFonts w:ascii="Times New Roman" w:hAnsi="Times New Roman" w:cs="Times New Roman"/>
          <w:color w:val="auto"/>
        </w:rPr>
      </w:pPr>
      <w:r w:rsidRPr="00B67130">
        <w:rPr>
          <w:rFonts w:ascii="Times New Roman" w:hAnsi="Times New Roman" w:cs="Times New Roman"/>
          <w:color w:val="auto"/>
        </w:rPr>
        <w:t>В Плана е упоменато, че "</w:t>
      </w:r>
      <w:r w:rsidRPr="00B67130">
        <w:rPr>
          <w:rFonts w:ascii="Times New Roman" w:hAnsi="Times New Roman" w:cs="Times New Roman"/>
          <w:i/>
          <w:iCs/>
          <w:color w:val="auto"/>
        </w:rPr>
        <w:t>Във връзка с измерението Декарбонизация е повдигнат и въпросът за извеждане от експлоатация и/или трансформация на ТЕЦ на въглища", както и "намаляване на производството на електроенергия от топлоелектрическите</w:t>
      </w:r>
      <w:r w:rsidRPr="008A2D93">
        <w:rPr>
          <w:rFonts w:ascii="Times New Roman" w:hAnsi="Times New Roman" w:cs="Times New Roman"/>
          <w:i/>
          <w:iCs/>
          <w:color w:val="auto"/>
        </w:rPr>
        <w:t xml:space="preserve"> централи;"</w:t>
      </w:r>
      <w:r w:rsidRPr="00091769">
        <w:rPr>
          <w:rFonts w:ascii="Times New Roman" w:hAnsi="Times New Roman" w:cs="Times New Roman"/>
          <w:i/>
          <w:iCs/>
          <w:color w:val="auto"/>
          <w:lang w:val="ru-RU"/>
        </w:rPr>
        <w:t xml:space="preserve"> </w:t>
      </w:r>
      <w:r w:rsidRPr="008A2D93">
        <w:rPr>
          <w:rFonts w:ascii="Times New Roman" w:hAnsi="Times New Roman" w:cs="Times New Roman"/>
          <w:color w:val="auto"/>
        </w:rPr>
        <w:t>Текстът е много неясен и смущаващ - не е планирано нито кои въглищни ТЕЦ-ове, нито какъв преход им се предвижда - с алтернативно гориво - природен газ или друго или ще се променя технологията с ниско емисионна, каквито са Circulating Fluidized Bed Combustion (CFBC), Pressurized Fluidized Bed Combustion (PFBC), Integrated Gasification Combined Cycle (IGCC), или ще се промени работния цикъл, като паро-газов цикъл, с оглед повишаване на енергийната им ефективност, респ. намаляване на емисиите им?</w:t>
      </w:r>
    </w:p>
    <w:p w:rsidR="00173C23" w:rsidRPr="008A2D93" w:rsidRDefault="00173C23" w:rsidP="002512B5">
      <w:pPr>
        <w:pStyle w:val="Default"/>
        <w:spacing w:after="120"/>
        <w:ind w:firstLine="720"/>
        <w:rPr>
          <w:rFonts w:ascii="Times New Roman" w:hAnsi="Times New Roman" w:cs="Times New Roman"/>
          <w:color w:val="auto"/>
          <w:lang w:val="ru-RU"/>
        </w:rPr>
      </w:pPr>
      <w:r w:rsidRPr="008A2D93">
        <w:rPr>
          <w:rFonts w:ascii="Times New Roman" w:hAnsi="Times New Roman" w:cs="Times New Roman"/>
          <w:color w:val="auto"/>
        </w:rPr>
        <w:t>За съжаление, в ИНПКЕ не е и загатнато дори за проучване, още по-малко за прилагане на някои от тези модерни технологии, които биха позволили експлоатирането на М</w:t>
      </w:r>
      <w:r>
        <w:rPr>
          <w:rFonts w:ascii="Times New Roman" w:hAnsi="Times New Roman" w:cs="Times New Roman"/>
          <w:color w:val="auto"/>
        </w:rPr>
        <w:t>ини „</w:t>
      </w:r>
      <w:r w:rsidRPr="008A2D93">
        <w:rPr>
          <w:rFonts w:ascii="Times New Roman" w:hAnsi="Times New Roman" w:cs="Times New Roman"/>
          <w:color w:val="auto"/>
        </w:rPr>
        <w:t>М</w:t>
      </w:r>
      <w:r>
        <w:rPr>
          <w:rFonts w:ascii="Times New Roman" w:hAnsi="Times New Roman" w:cs="Times New Roman"/>
          <w:color w:val="auto"/>
        </w:rPr>
        <w:t xml:space="preserve">арица </w:t>
      </w:r>
      <w:r w:rsidRPr="008A2D93">
        <w:rPr>
          <w:rFonts w:ascii="Times New Roman" w:hAnsi="Times New Roman" w:cs="Times New Roman"/>
          <w:color w:val="auto"/>
        </w:rPr>
        <w:t>И</w:t>
      </w:r>
      <w:r>
        <w:rPr>
          <w:rFonts w:ascii="Times New Roman" w:hAnsi="Times New Roman" w:cs="Times New Roman"/>
          <w:color w:val="auto"/>
        </w:rPr>
        <w:t>зток”</w:t>
      </w:r>
      <w:r w:rsidRPr="008A2D93">
        <w:rPr>
          <w:rFonts w:ascii="Times New Roman" w:hAnsi="Times New Roman" w:cs="Times New Roman"/>
          <w:color w:val="auto"/>
        </w:rPr>
        <w:t xml:space="preserve"> до пълното оползотворяване на наличния ресурс въглища.</w:t>
      </w:r>
    </w:p>
    <w:p w:rsidR="00173C23" w:rsidRPr="008A2D93" w:rsidRDefault="00173C23" w:rsidP="002512B5">
      <w:pPr>
        <w:pStyle w:val="Default"/>
        <w:spacing w:after="120"/>
        <w:ind w:firstLine="720"/>
        <w:rPr>
          <w:rFonts w:ascii="Times New Roman" w:hAnsi="Times New Roman" w:cs="Times New Roman"/>
          <w:color w:val="auto"/>
        </w:rPr>
      </w:pPr>
      <w:r w:rsidRPr="008A2D93">
        <w:rPr>
          <w:rFonts w:ascii="Times New Roman" w:hAnsi="Times New Roman" w:cs="Times New Roman"/>
          <w:color w:val="auto"/>
        </w:rPr>
        <w:t>Само през миналата година почти осем милиарда тона въглища са изразходвани в света предимно за производство на енергия. Това число нараства с годините и въпреки всички намерения и цели за декарбонизация изглежда, че ще продължи да расте в страни като Китай и Индия.</w:t>
      </w:r>
    </w:p>
    <w:p w:rsidR="00173C23" w:rsidRDefault="00173C23" w:rsidP="002512B5">
      <w:pPr>
        <w:pStyle w:val="Default"/>
        <w:spacing w:after="120"/>
        <w:ind w:firstLine="720"/>
        <w:rPr>
          <w:rFonts w:ascii="Times New Roman" w:hAnsi="Times New Roman" w:cs="Times New Roman"/>
          <w:color w:val="auto"/>
        </w:rPr>
      </w:pPr>
    </w:p>
    <w:p w:rsidR="00173C23" w:rsidRPr="008A2D93" w:rsidRDefault="00173C23" w:rsidP="002512B5">
      <w:pPr>
        <w:pStyle w:val="Default"/>
        <w:spacing w:after="120"/>
        <w:ind w:firstLine="720"/>
        <w:rPr>
          <w:rFonts w:ascii="Times New Roman" w:hAnsi="Times New Roman" w:cs="Times New Roman"/>
          <w:color w:val="auto"/>
        </w:rPr>
      </w:pPr>
      <w:r w:rsidRPr="008A2D93">
        <w:rPr>
          <w:rFonts w:ascii="Times New Roman" w:hAnsi="Times New Roman" w:cs="Times New Roman"/>
          <w:color w:val="auto"/>
        </w:rPr>
        <w:t>Не става въпрос за производство на чисти въглища, само по себе си, няма такова нещо, а за получаване на по-чисто гориво за производство на енергия.</w:t>
      </w:r>
      <w:r>
        <w:rPr>
          <w:rFonts w:ascii="Times New Roman" w:hAnsi="Times New Roman" w:cs="Times New Roman"/>
          <w:color w:val="auto"/>
        </w:rPr>
        <w:t xml:space="preserve"> Така например е</w:t>
      </w:r>
      <w:r w:rsidRPr="008A2D93">
        <w:rPr>
          <w:rFonts w:ascii="Times New Roman" w:hAnsi="Times New Roman" w:cs="Times New Roman"/>
          <w:color w:val="auto"/>
        </w:rPr>
        <w:t xml:space="preserve">дно такова решение </w:t>
      </w:r>
      <w:r>
        <w:rPr>
          <w:rFonts w:ascii="Times New Roman" w:hAnsi="Times New Roman" w:cs="Times New Roman"/>
          <w:color w:val="auto"/>
        </w:rPr>
        <w:t xml:space="preserve">е </w:t>
      </w:r>
      <w:r w:rsidRPr="008A2D93">
        <w:rPr>
          <w:rFonts w:ascii="Times New Roman" w:hAnsi="Times New Roman" w:cs="Times New Roman"/>
          <w:color w:val="auto"/>
        </w:rPr>
        <w:t>технология</w:t>
      </w:r>
      <w:r>
        <w:rPr>
          <w:rFonts w:ascii="Times New Roman" w:hAnsi="Times New Roman" w:cs="Times New Roman"/>
          <w:color w:val="auto"/>
        </w:rPr>
        <w:t>та</w:t>
      </w:r>
      <w:r w:rsidRPr="008A2D93">
        <w:rPr>
          <w:rFonts w:ascii="Times New Roman" w:hAnsi="Times New Roman" w:cs="Times New Roman"/>
          <w:color w:val="auto"/>
        </w:rPr>
        <w:t xml:space="preserve"> за чисти въглища Clean</w:t>
      </w:r>
      <w:r w:rsidRPr="00091769">
        <w:rPr>
          <w:rFonts w:ascii="Times New Roman" w:hAnsi="Times New Roman" w:cs="Times New Roman"/>
          <w:color w:val="auto"/>
          <w:lang w:val="ru-RU"/>
        </w:rPr>
        <w:t xml:space="preserve"> </w:t>
      </w:r>
      <w:r w:rsidRPr="008A2D93">
        <w:rPr>
          <w:rFonts w:ascii="Times New Roman" w:hAnsi="Times New Roman" w:cs="Times New Roman"/>
          <w:color w:val="auto"/>
        </w:rPr>
        <w:t>Coal</w:t>
      </w:r>
      <w:r w:rsidRPr="00091769">
        <w:rPr>
          <w:rFonts w:ascii="Times New Roman" w:hAnsi="Times New Roman" w:cs="Times New Roman"/>
          <w:color w:val="auto"/>
          <w:lang w:val="ru-RU"/>
        </w:rPr>
        <w:t xml:space="preserve"> </w:t>
      </w:r>
      <w:r w:rsidRPr="008A2D93">
        <w:rPr>
          <w:rFonts w:ascii="Times New Roman" w:hAnsi="Times New Roman" w:cs="Times New Roman"/>
          <w:color w:val="auto"/>
        </w:rPr>
        <w:t>Technologies(CCT), процес който може да подобри ефективността на добитите въглища с 33% и да помогне за намаляване на екологичния отпечатък на този жизненоважен източник на енергия.</w:t>
      </w:r>
    </w:p>
    <w:p w:rsidR="00173C23" w:rsidRPr="008A2D93" w:rsidRDefault="00173C23" w:rsidP="002512B5">
      <w:pPr>
        <w:pStyle w:val="Default"/>
        <w:spacing w:after="120"/>
        <w:ind w:firstLine="720"/>
        <w:rPr>
          <w:rFonts w:ascii="Times New Roman" w:hAnsi="Times New Roman" w:cs="Times New Roman"/>
          <w:color w:val="auto"/>
        </w:rPr>
      </w:pPr>
      <w:r w:rsidRPr="008A2D93">
        <w:rPr>
          <w:rFonts w:ascii="Times New Roman" w:hAnsi="Times New Roman" w:cs="Times New Roman"/>
          <w:color w:val="auto"/>
        </w:rPr>
        <w:t>Друга възможност е изграждане на инсталаци</w:t>
      </w:r>
      <w:r>
        <w:rPr>
          <w:rFonts w:ascii="Times New Roman" w:hAnsi="Times New Roman" w:cs="Times New Roman"/>
          <w:color w:val="auto"/>
        </w:rPr>
        <w:t>и</w:t>
      </w:r>
      <w:r w:rsidRPr="008A2D93">
        <w:rPr>
          <w:rFonts w:ascii="Times New Roman" w:hAnsi="Times New Roman" w:cs="Times New Roman"/>
          <w:color w:val="auto"/>
        </w:rPr>
        <w:t xml:space="preserve"> за газификация на въглищата. 153 инсталации за газификация, оборудвани с 370 реактора с обща мощност 66 393 MW</w:t>
      </w:r>
      <w:r w:rsidRPr="008A2D93">
        <w:rPr>
          <w:rFonts w:ascii="Times New Roman" w:hAnsi="Times New Roman" w:cs="Times New Roman"/>
          <w:color w:val="auto"/>
          <w:vertAlign w:val="subscript"/>
        </w:rPr>
        <w:t>th</w:t>
      </w:r>
      <w:r w:rsidRPr="008A2D93">
        <w:rPr>
          <w:rFonts w:ascii="Times New Roman" w:hAnsi="Times New Roman" w:cs="Times New Roman"/>
          <w:color w:val="auto"/>
        </w:rPr>
        <w:t xml:space="preserve"> в момента работят по целия свят. Въглищата са основна суровина за газификация. Използваните инсталации за газификация, които в момента са в експлоатация, представляват 61.6% от глобалното производство на син</w:t>
      </w:r>
      <w:r>
        <w:rPr>
          <w:rFonts w:ascii="Times New Roman" w:hAnsi="Times New Roman" w:cs="Times New Roman"/>
          <w:color w:val="auto"/>
        </w:rPr>
        <w:t xml:space="preserve">тетичен </w:t>
      </w:r>
      <w:r w:rsidRPr="008A2D93">
        <w:rPr>
          <w:rFonts w:ascii="Times New Roman" w:hAnsi="Times New Roman" w:cs="Times New Roman"/>
          <w:color w:val="auto"/>
        </w:rPr>
        <w:t>газ</w:t>
      </w:r>
      <w:r>
        <w:rPr>
          <w:rFonts w:ascii="Times New Roman" w:hAnsi="Times New Roman" w:cs="Times New Roman"/>
          <w:color w:val="auto"/>
        </w:rPr>
        <w:t xml:space="preserve"> (сингаз)</w:t>
      </w:r>
      <w:r w:rsidRPr="008A2D93">
        <w:rPr>
          <w:rFonts w:ascii="Times New Roman" w:hAnsi="Times New Roman" w:cs="Times New Roman"/>
          <w:color w:val="auto"/>
        </w:rPr>
        <w:t>.  За инсталациите, които са в процес на изграждане и планирани за стартиране в света ще се запази ролята на въглищата като основно гориво и делът на сингаза, произведен от тази суровина ще нарасне до 79% в това десетилетие.</w:t>
      </w:r>
    </w:p>
    <w:p w:rsidR="00173C23" w:rsidRPr="00BE1ECE" w:rsidRDefault="00173C23" w:rsidP="002512B5">
      <w:pPr>
        <w:pStyle w:val="Default"/>
        <w:spacing w:after="120"/>
        <w:ind w:firstLine="720"/>
        <w:rPr>
          <w:rFonts w:ascii="Times New Roman" w:hAnsi="Times New Roman" w:cs="Times New Roman"/>
          <w:color w:val="auto"/>
        </w:rPr>
      </w:pPr>
      <w:r w:rsidRPr="008A2D93">
        <w:rPr>
          <w:rFonts w:ascii="Times New Roman" w:hAnsi="Times New Roman" w:cs="Times New Roman"/>
          <w:color w:val="auto"/>
        </w:rPr>
        <w:t>Трета възможна за реализация технология (може би и най-малко капиталоемка) е преработването на въглищата във водо</w:t>
      </w:r>
      <w:r w:rsidRPr="00091769">
        <w:rPr>
          <w:rFonts w:ascii="Times New Roman" w:hAnsi="Times New Roman" w:cs="Times New Roman"/>
          <w:color w:val="auto"/>
          <w:lang w:val="ru-RU"/>
        </w:rPr>
        <w:t>-</w:t>
      </w:r>
      <w:r w:rsidRPr="008A2D93">
        <w:rPr>
          <w:rFonts w:ascii="Times New Roman" w:hAnsi="Times New Roman" w:cs="Times New Roman"/>
          <w:color w:val="auto"/>
        </w:rPr>
        <w:t xml:space="preserve">въглищно гориво (ВВГ).Такива инсталации са изградени в Китай, Италия, Япония, Австрия, Русия, Австралия, Швеция, Канада и в САЩ. Най-интензивно използване на технологията ВВГ е в Китай, Япония и Русия.Понастоящем в Китай функционират повече от 20 инсталации за производство на ВВГ с годишна продукция </w:t>
      </w:r>
      <w:r w:rsidRPr="00BE1ECE">
        <w:rPr>
          <w:rFonts w:ascii="Times New Roman" w:hAnsi="Times New Roman" w:cs="Times New Roman"/>
          <w:color w:val="auto"/>
        </w:rPr>
        <w:t>повече от 4 млн</w:t>
      </w:r>
      <w:r>
        <w:rPr>
          <w:rFonts w:ascii="Times New Roman" w:hAnsi="Times New Roman" w:cs="Times New Roman"/>
          <w:color w:val="auto"/>
        </w:rPr>
        <w:t>.</w:t>
      </w:r>
      <w:r w:rsidRPr="00BE1ECE">
        <w:rPr>
          <w:rFonts w:ascii="Times New Roman" w:hAnsi="Times New Roman" w:cs="Times New Roman"/>
          <w:color w:val="auto"/>
        </w:rPr>
        <w:t xml:space="preserve"> тона.</w:t>
      </w:r>
    </w:p>
    <w:p w:rsidR="00173C23" w:rsidRPr="00E02C77" w:rsidRDefault="00173C23" w:rsidP="002512B5">
      <w:pPr>
        <w:pStyle w:val="Default"/>
        <w:spacing w:after="120"/>
        <w:ind w:firstLine="720"/>
        <w:rPr>
          <w:rFonts w:ascii="Times New Roman" w:hAnsi="Times New Roman" w:cs="Times New Roman"/>
          <w:b/>
          <w:color w:val="auto"/>
          <w:lang w:eastAsia="bg-BG"/>
        </w:rPr>
      </w:pPr>
      <w:r>
        <w:rPr>
          <w:rFonts w:ascii="Times New Roman" w:hAnsi="Times New Roman" w:cs="Times New Roman"/>
          <w:b/>
          <w:color w:val="auto"/>
          <w:lang w:eastAsia="bg-BG"/>
        </w:rPr>
        <w:t>2.1.3</w:t>
      </w:r>
      <w:r w:rsidRPr="00E02C77">
        <w:rPr>
          <w:rFonts w:ascii="Times New Roman" w:hAnsi="Times New Roman" w:cs="Times New Roman"/>
          <w:b/>
          <w:color w:val="auto"/>
          <w:lang w:eastAsia="bg-BG"/>
        </w:rPr>
        <w:t>.Възобновяема енергия</w:t>
      </w:r>
    </w:p>
    <w:p w:rsidR="00173C23" w:rsidRPr="008A2D93" w:rsidRDefault="00173C23" w:rsidP="002512B5">
      <w:pPr>
        <w:pStyle w:val="Default"/>
        <w:spacing w:after="120"/>
        <w:ind w:firstLine="720"/>
        <w:rPr>
          <w:rFonts w:ascii="Times New Roman" w:hAnsi="Times New Roman" w:cs="Times New Roman"/>
          <w:color w:val="auto"/>
        </w:rPr>
      </w:pPr>
      <w:r>
        <w:rPr>
          <w:rFonts w:ascii="Times New Roman" w:hAnsi="Times New Roman" w:cs="Times New Roman"/>
          <w:color w:val="auto"/>
        </w:rPr>
        <w:t>Много внимание е отделено н</w:t>
      </w:r>
      <w:r w:rsidRPr="008A2D93">
        <w:rPr>
          <w:rFonts w:ascii="Times New Roman" w:hAnsi="Times New Roman" w:cs="Times New Roman"/>
          <w:color w:val="auto"/>
        </w:rPr>
        <w:t>а</w:t>
      </w:r>
      <w:r>
        <w:rPr>
          <w:rFonts w:ascii="Times New Roman" w:hAnsi="Times New Roman" w:cs="Times New Roman"/>
          <w:color w:val="auto"/>
        </w:rPr>
        <w:t xml:space="preserve"> темата за</w:t>
      </w:r>
      <w:r w:rsidRPr="008A2D93">
        <w:rPr>
          <w:rFonts w:ascii="Times New Roman" w:hAnsi="Times New Roman" w:cs="Times New Roman"/>
          <w:color w:val="auto"/>
        </w:rPr>
        <w:t xml:space="preserve"> "</w:t>
      </w:r>
      <w:r w:rsidRPr="008A2D93">
        <w:rPr>
          <w:rFonts w:ascii="Times New Roman" w:hAnsi="Times New Roman" w:cs="Times New Roman"/>
          <w:i/>
          <w:iCs/>
          <w:color w:val="auto"/>
        </w:rPr>
        <w:t>Изграждането на нови централи, използващи вятърна и слънчева енергия, и биомаса</w:t>
      </w:r>
      <w:r w:rsidRPr="008A2D93">
        <w:rPr>
          <w:rFonts w:ascii="Times New Roman" w:hAnsi="Times New Roman" w:cs="Times New Roman"/>
          <w:color w:val="auto"/>
        </w:rPr>
        <w:t>" както и "</w:t>
      </w:r>
      <w:r w:rsidRPr="008A2D93">
        <w:rPr>
          <w:rFonts w:ascii="Times New Roman" w:hAnsi="Times New Roman" w:cs="Times New Roman"/>
          <w:i/>
          <w:iCs/>
          <w:color w:val="auto"/>
        </w:rPr>
        <w:t>Стимулиране използването на топлинна енергия и енергия за охлаждане, произведена от ВИ</w:t>
      </w:r>
      <w:r w:rsidRPr="008A2D93">
        <w:rPr>
          <w:rFonts w:ascii="Times New Roman" w:hAnsi="Times New Roman" w:cs="Times New Roman"/>
          <w:color w:val="auto"/>
        </w:rPr>
        <w:t>". За тях е ясно само това, че ще се "</w:t>
      </w:r>
      <w:r w:rsidRPr="008A2D93">
        <w:rPr>
          <w:rFonts w:ascii="Times New Roman" w:hAnsi="Times New Roman" w:cs="Times New Roman"/>
          <w:i/>
          <w:iCs/>
          <w:color w:val="auto"/>
        </w:rPr>
        <w:t>реализират на пазарен принцип и без предоставянето на инвестиционна или оперативна финансова подкрепа. Като подходяща форма на подпомагане се обмисля и възможността за провеждането на търгове за предоставяне на капацитет за производството на електрическа енергия от В</w:t>
      </w:r>
      <w:r>
        <w:rPr>
          <w:rFonts w:ascii="Times New Roman" w:hAnsi="Times New Roman" w:cs="Times New Roman"/>
          <w:i/>
          <w:iCs/>
          <w:color w:val="auto"/>
        </w:rPr>
        <w:t>Е</w:t>
      </w:r>
      <w:r w:rsidRPr="008A2D93">
        <w:rPr>
          <w:rFonts w:ascii="Times New Roman" w:hAnsi="Times New Roman" w:cs="Times New Roman"/>
          <w:i/>
          <w:iCs/>
          <w:color w:val="auto"/>
        </w:rPr>
        <w:t xml:space="preserve">И и </w:t>
      </w:r>
      <w:r w:rsidRPr="00BE1ECE">
        <w:rPr>
          <w:rFonts w:ascii="Times New Roman" w:hAnsi="Times New Roman" w:cs="Times New Roman"/>
          <w:b/>
          <w:bCs/>
          <w:i/>
          <w:iCs/>
          <w:color w:val="auto"/>
        </w:rPr>
        <w:t>предоставянето</w:t>
      </w:r>
      <w:r w:rsidRPr="008A2D93">
        <w:rPr>
          <w:rFonts w:ascii="Times New Roman" w:hAnsi="Times New Roman" w:cs="Times New Roman"/>
          <w:i/>
          <w:iCs/>
          <w:color w:val="auto"/>
        </w:rPr>
        <w:t xml:space="preserve"> на добавка под формата на премия към пазарната цена за продаваната електрическата енергия на електроенергийния пазар."</w:t>
      </w:r>
    </w:p>
    <w:p w:rsidR="00173C23" w:rsidRPr="008A2D93" w:rsidRDefault="00173C23" w:rsidP="002512B5">
      <w:pPr>
        <w:pStyle w:val="Default"/>
        <w:spacing w:after="120"/>
        <w:ind w:firstLine="720"/>
        <w:rPr>
          <w:rFonts w:ascii="Times New Roman" w:hAnsi="Times New Roman" w:cs="Times New Roman"/>
          <w:color w:val="auto"/>
        </w:rPr>
      </w:pPr>
      <w:r w:rsidRPr="008A2D93">
        <w:rPr>
          <w:rFonts w:ascii="Times New Roman" w:hAnsi="Times New Roman" w:cs="Times New Roman"/>
          <w:color w:val="auto"/>
        </w:rPr>
        <w:t>Това е добре, но в плана следва да се предвиди тези В</w:t>
      </w:r>
      <w:r>
        <w:rPr>
          <w:rFonts w:ascii="Times New Roman" w:hAnsi="Times New Roman" w:cs="Times New Roman"/>
          <w:color w:val="auto"/>
        </w:rPr>
        <w:t>Е</w:t>
      </w:r>
      <w:r w:rsidRPr="008A2D93">
        <w:rPr>
          <w:rFonts w:ascii="Times New Roman" w:hAnsi="Times New Roman" w:cs="Times New Roman"/>
          <w:color w:val="auto"/>
        </w:rPr>
        <w:t xml:space="preserve">И с какви нови балансиращи мощности ще се компенсират в системата или с какви акумулиращи устройства? За да се ограничи неконтролираното увеличение на производството на </w:t>
      </w:r>
      <w:r>
        <w:rPr>
          <w:rFonts w:ascii="Times New Roman" w:hAnsi="Times New Roman" w:cs="Times New Roman"/>
          <w:color w:val="auto"/>
        </w:rPr>
        <w:t>възобновяема енергия</w:t>
      </w:r>
      <w:r w:rsidRPr="008A2D93">
        <w:rPr>
          <w:rFonts w:ascii="Times New Roman" w:hAnsi="Times New Roman" w:cs="Times New Roman"/>
          <w:color w:val="auto"/>
        </w:rPr>
        <w:t xml:space="preserve"> е редно да се въведе занапред задължение на инвеститорите да изграждат нова ВЕИ, съпътствано от паралелно изграждане  на акумулиращ</w:t>
      </w:r>
      <w:r>
        <w:rPr>
          <w:rFonts w:ascii="Times New Roman" w:hAnsi="Times New Roman" w:cs="Times New Roman"/>
          <w:color w:val="auto"/>
        </w:rPr>
        <w:t>и</w:t>
      </w:r>
      <w:r w:rsidRPr="008A2D93">
        <w:rPr>
          <w:rFonts w:ascii="Times New Roman" w:hAnsi="Times New Roman" w:cs="Times New Roman"/>
          <w:color w:val="auto"/>
        </w:rPr>
        <w:t xml:space="preserve"> устройств</w:t>
      </w:r>
      <w:r>
        <w:rPr>
          <w:rFonts w:ascii="Times New Roman" w:hAnsi="Times New Roman" w:cs="Times New Roman"/>
          <w:color w:val="auto"/>
        </w:rPr>
        <w:t>а и други системни услуги</w:t>
      </w:r>
      <w:r w:rsidRPr="008A2D93">
        <w:rPr>
          <w:rFonts w:ascii="Times New Roman" w:hAnsi="Times New Roman" w:cs="Times New Roman"/>
          <w:color w:val="auto"/>
        </w:rPr>
        <w:t>.</w:t>
      </w:r>
    </w:p>
    <w:p w:rsidR="00173C23" w:rsidRPr="008A2D93" w:rsidRDefault="00173C23" w:rsidP="002512B5">
      <w:pPr>
        <w:pStyle w:val="Default"/>
        <w:spacing w:after="120"/>
        <w:ind w:firstLine="720"/>
        <w:rPr>
          <w:rFonts w:ascii="Times New Roman" w:hAnsi="Times New Roman" w:cs="Times New Roman"/>
          <w:color w:val="auto"/>
        </w:rPr>
      </w:pPr>
      <w:r w:rsidRPr="008A2D93">
        <w:rPr>
          <w:rFonts w:ascii="Times New Roman" w:hAnsi="Times New Roman" w:cs="Times New Roman"/>
          <w:color w:val="auto"/>
        </w:rPr>
        <w:t>Без всякаква конкретика е планираното на стр.95 "</w:t>
      </w:r>
      <w:r w:rsidRPr="008A2D93">
        <w:rPr>
          <w:rFonts w:ascii="Times New Roman" w:hAnsi="Times New Roman" w:cs="Times New Roman"/>
          <w:i/>
          <w:iCs/>
          <w:color w:val="auto"/>
        </w:rPr>
        <w:t>Повишаването на гъвкавостта на системата чрез развитие на балансиращите мощности, капацитета за съхранение на енергия и способностите за нейното управление."</w:t>
      </w:r>
    </w:p>
    <w:p w:rsidR="00173C23" w:rsidRPr="008A6ECA" w:rsidRDefault="00173C23" w:rsidP="002512B5">
      <w:pPr>
        <w:pStyle w:val="Default"/>
        <w:spacing w:after="120"/>
        <w:ind w:firstLine="720"/>
        <w:rPr>
          <w:rFonts w:ascii="Times New Roman" w:hAnsi="Times New Roman" w:cs="Times New Roman"/>
          <w:color w:val="auto"/>
        </w:rPr>
      </w:pPr>
      <w:r w:rsidRPr="008A2D93">
        <w:rPr>
          <w:rFonts w:ascii="Times New Roman" w:hAnsi="Times New Roman" w:cs="Times New Roman"/>
          <w:color w:val="auto"/>
        </w:rPr>
        <w:t xml:space="preserve">До сега </w:t>
      </w:r>
      <w:r>
        <w:rPr>
          <w:rFonts w:ascii="Times New Roman" w:hAnsi="Times New Roman" w:cs="Times New Roman"/>
          <w:color w:val="auto"/>
        </w:rPr>
        <w:t xml:space="preserve">Министерство на енергетиката </w:t>
      </w:r>
      <w:r w:rsidRPr="008A2D93">
        <w:rPr>
          <w:rFonts w:ascii="Times New Roman" w:hAnsi="Times New Roman" w:cs="Times New Roman"/>
          <w:color w:val="auto"/>
        </w:rPr>
        <w:t>н</w:t>
      </w:r>
      <w:r>
        <w:rPr>
          <w:rFonts w:ascii="Times New Roman" w:hAnsi="Times New Roman" w:cs="Times New Roman"/>
          <w:color w:val="auto"/>
        </w:rPr>
        <w:t xml:space="preserve">е е прилагало задължението си, произтичащо от изискванията на </w:t>
      </w:r>
      <w:r w:rsidRPr="008A2D93">
        <w:rPr>
          <w:rFonts w:ascii="Times New Roman" w:hAnsi="Times New Roman" w:cs="Times New Roman"/>
          <w:color w:val="auto"/>
        </w:rPr>
        <w:t xml:space="preserve">чл.4, ал.(2) т.5 от ЗЕ да </w:t>
      </w:r>
      <w:r w:rsidRPr="008A2D93">
        <w:rPr>
          <w:rFonts w:ascii="Times New Roman" w:hAnsi="Times New Roman" w:cs="Times New Roman"/>
          <w:i/>
          <w:iCs/>
          <w:color w:val="auto"/>
        </w:rPr>
        <w:t>"определя</w:t>
      </w:r>
      <w:r w:rsidRPr="00C277D0">
        <w:rPr>
          <w:rFonts w:ascii="Times New Roman" w:hAnsi="Times New Roman" w:cs="Times New Roman"/>
          <w:i/>
          <w:iCs/>
          <w:color w:val="auto"/>
        </w:rPr>
        <w:t xml:space="preserve"> необходимите нови мощности за производство на електрическа енергия и обнародва описа на необходимите нови мощности в "Държавен вестник"</w:t>
      </w:r>
      <w:r>
        <w:rPr>
          <w:rFonts w:ascii="Times New Roman" w:hAnsi="Times New Roman" w:cs="Times New Roman"/>
          <w:i/>
          <w:iCs/>
          <w:color w:val="auto"/>
        </w:rPr>
        <w:t xml:space="preserve">. </w:t>
      </w:r>
      <w:r>
        <w:rPr>
          <w:rFonts w:ascii="Times New Roman" w:hAnsi="Times New Roman" w:cs="Times New Roman"/>
          <w:color w:val="auto"/>
        </w:rPr>
        <w:t xml:space="preserve">В тази връзка и </w:t>
      </w:r>
      <w:r w:rsidRPr="008A6ECA">
        <w:rPr>
          <w:rFonts w:ascii="Times New Roman" w:hAnsi="Times New Roman" w:cs="Times New Roman"/>
          <w:color w:val="auto"/>
        </w:rPr>
        <w:t>в съответствие с 10</w:t>
      </w:r>
      <w:r>
        <w:rPr>
          <w:rFonts w:ascii="Times New Roman" w:hAnsi="Times New Roman" w:cs="Times New Roman"/>
          <w:color w:val="auto"/>
        </w:rPr>
        <w:t>-</w:t>
      </w:r>
      <w:r w:rsidRPr="008A6ECA">
        <w:rPr>
          <w:rFonts w:ascii="Times New Roman" w:hAnsi="Times New Roman" w:cs="Times New Roman"/>
          <w:color w:val="auto"/>
        </w:rPr>
        <w:t>год</w:t>
      </w:r>
      <w:r>
        <w:rPr>
          <w:rFonts w:ascii="Times New Roman" w:hAnsi="Times New Roman" w:cs="Times New Roman"/>
          <w:color w:val="auto"/>
        </w:rPr>
        <w:t xml:space="preserve">ишния </w:t>
      </w:r>
      <w:r w:rsidRPr="008A6ECA">
        <w:rPr>
          <w:rFonts w:ascii="Times New Roman" w:hAnsi="Times New Roman" w:cs="Times New Roman"/>
          <w:color w:val="auto"/>
        </w:rPr>
        <w:t xml:space="preserve">план на ЕСО </w:t>
      </w:r>
      <w:r>
        <w:rPr>
          <w:rFonts w:ascii="Times New Roman" w:hAnsi="Times New Roman" w:cs="Times New Roman"/>
          <w:color w:val="auto"/>
        </w:rPr>
        <w:t xml:space="preserve">за развитие на мрежата </w:t>
      </w:r>
      <w:r w:rsidRPr="008A6ECA">
        <w:rPr>
          <w:rFonts w:ascii="Times New Roman" w:hAnsi="Times New Roman" w:cs="Times New Roman"/>
          <w:color w:val="auto"/>
        </w:rPr>
        <w:t xml:space="preserve">да се конкретизира в ИНПКЕ от какви </w:t>
      </w:r>
      <w:r>
        <w:rPr>
          <w:rFonts w:ascii="Times New Roman" w:hAnsi="Times New Roman" w:cs="Times New Roman"/>
          <w:color w:val="auto"/>
        </w:rPr>
        <w:t xml:space="preserve">основни и </w:t>
      </w:r>
      <w:r w:rsidRPr="008A6ECA">
        <w:rPr>
          <w:rFonts w:ascii="Times New Roman" w:hAnsi="Times New Roman" w:cs="Times New Roman"/>
          <w:color w:val="auto"/>
        </w:rPr>
        <w:t>балансиращи мощности по тип, по използвано гориво и по капацитет ще са нужни за енергосистемата до 2030г., ако въобще са нужни?</w:t>
      </w:r>
      <w:r>
        <w:rPr>
          <w:rFonts w:ascii="Times New Roman" w:hAnsi="Times New Roman" w:cs="Times New Roman"/>
          <w:color w:val="auto"/>
        </w:rPr>
        <w:t xml:space="preserve"> И на какъв принцип са определени, а той задължително трябва да бъде на принципа на </w:t>
      </w:r>
      <w:r>
        <w:rPr>
          <w:rFonts w:ascii="Times New Roman" w:hAnsi="Times New Roman" w:cs="Times New Roman"/>
          <w:color w:val="auto"/>
          <w:lang w:val="en-US"/>
        </w:rPr>
        <w:t>LCP</w:t>
      </w:r>
      <w:r w:rsidRPr="00091769">
        <w:rPr>
          <w:rFonts w:ascii="Times New Roman" w:hAnsi="Times New Roman" w:cs="Times New Roman"/>
          <w:color w:val="auto"/>
          <w:lang w:val="ru-RU"/>
        </w:rPr>
        <w:t xml:space="preserve">  - </w:t>
      </w:r>
      <w:r>
        <w:rPr>
          <w:rFonts w:ascii="Times New Roman" w:hAnsi="Times New Roman" w:cs="Times New Roman"/>
          <w:color w:val="auto"/>
        </w:rPr>
        <w:t>планиране с минимални разходи.</w:t>
      </w:r>
    </w:p>
    <w:p w:rsidR="00173C23" w:rsidRDefault="00173C23" w:rsidP="002512B5">
      <w:pPr>
        <w:pStyle w:val="Default"/>
        <w:spacing w:after="120"/>
        <w:ind w:firstLine="720"/>
        <w:rPr>
          <w:rFonts w:ascii="Times New Roman" w:hAnsi="Times New Roman" w:cs="Times New Roman"/>
          <w:color w:val="auto"/>
          <w:lang w:eastAsia="bg-BG"/>
        </w:rPr>
      </w:pPr>
    </w:p>
    <w:p w:rsidR="00173C23" w:rsidRDefault="00173C23" w:rsidP="002512B5">
      <w:pPr>
        <w:pStyle w:val="Default"/>
        <w:spacing w:after="120"/>
        <w:ind w:firstLine="720"/>
        <w:rPr>
          <w:rFonts w:ascii="Times New Roman" w:hAnsi="Times New Roman" w:cs="Times New Roman"/>
          <w:color w:val="auto"/>
          <w:lang w:eastAsia="bg-BG"/>
        </w:rPr>
      </w:pPr>
      <w:r w:rsidRPr="008A6ECA">
        <w:rPr>
          <w:rFonts w:ascii="Times New Roman" w:hAnsi="Times New Roman" w:cs="Times New Roman"/>
          <w:color w:val="auto"/>
          <w:lang w:eastAsia="bg-BG"/>
        </w:rPr>
        <w:t>Изведеният акцент върху фотоволтаични паркове е твърде противоречив – досегашната практика у нас не е положителна за тези централи, а от друга страна в ИНПЕК напълно пренебрег</w:t>
      </w:r>
      <w:r>
        <w:rPr>
          <w:rFonts w:ascii="Times New Roman" w:hAnsi="Times New Roman" w:cs="Times New Roman"/>
          <w:color w:val="auto"/>
          <w:lang w:eastAsia="bg-BG"/>
        </w:rPr>
        <w:t>н</w:t>
      </w:r>
      <w:r w:rsidRPr="008A6ECA">
        <w:rPr>
          <w:rFonts w:ascii="Times New Roman" w:hAnsi="Times New Roman" w:cs="Times New Roman"/>
          <w:color w:val="auto"/>
          <w:lang w:eastAsia="bg-BG"/>
        </w:rPr>
        <w:t>ат изглежда потенциала за използване на В</w:t>
      </w:r>
      <w:r>
        <w:rPr>
          <w:rFonts w:ascii="Times New Roman" w:hAnsi="Times New Roman" w:cs="Times New Roman"/>
          <w:color w:val="auto"/>
          <w:lang w:eastAsia="bg-BG"/>
        </w:rPr>
        <w:t>Е</w:t>
      </w:r>
      <w:r w:rsidRPr="008A6ECA">
        <w:rPr>
          <w:rFonts w:ascii="Times New Roman" w:hAnsi="Times New Roman" w:cs="Times New Roman"/>
          <w:color w:val="auto"/>
          <w:lang w:eastAsia="bg-BG"/>
        </w:rPr>
        <w:t>И, включително фотоволтаични инсталации, в близост до потребителите. От таблица 16 виждаме незначителен ръст на слънчеви и геотермални инсталации</w:t>
      </w:r>
      <w:r w:rsidRPr="00091769">
        <w:rPr>
          <w:rFonts w:ascii="Times New Roman" w:hAnsi="Times New Roman" w:cs="Times New Roman"/>
          <w:color w:val="auto"/>
          <w:lang w:val="ru-RU" w:eastAsia="bg-BG"/>
        </w:rPr>
        <w:t xml:space="preserve"> </w:t>
      </w:r>
      <w:r w:rsidRPr="008A6ECA">
        <w:rPr>
          <w:rFonts w:ascii="Times New Roman" w:hAnsi="Times New Roman" w:cs="Times New Roman"/>
          <w:color w:val="auto"/>
          <w:lang w:eastAsia="bg-BG"/>
        </w:rPr>
        <w:t>за отопление, но тези В</w:t>
      </w:r>
      <w:r>
        <w:rPr>
          <w:rFonts w:ascii="Times New Roman" w:hAnsi="Times New Roman" w:cs="Times New Roman"/>
          <w:color w:val="auto"/>
          <w:lang w:eastAsia="bg-BG"/>
        </w:rPr>
        <w:t>Е</w:t>
      </w:r>
      <w:r w:rsidRPr="008A6ECA">
        <w:rPr>
          <w:rFonts w:ascii="Times New Roman" w:hAnsi="Times New Roman" w:cs="Times New Roman"/>
          <w:color w:val="auto"/>
          <w:lang w:eastAsia="bg-BG"/>
        </w:rPr>
        <w:t>И, включително и за електропроизводство, би следвало да попадат в област на насочени политики за подкрепа и съответно значително по-висок ръст.</w:t>
      </w:r>
    </w:p>
    <w:p w:rsidR="00173C23" w:rsidRPr="00B67130" w:rsidRDefault="00173C23" w:rsidP="002512B5">
      <w:pPr>
        <w:pStyle w:val="ydp259baa16msonormal"/>
        <w:ind w:firstLine="720"/>
        <w:rPr>
          <w:rFonts w:ascii="Times New Roman" w:hAnsi="Times New Roman"/>
          <w:sz w:val="20"/>
          <w:szCs w:val="20"/>
          <w:lang w:val="ru-RU"/>
        </w:rPr>
      </w:pPr>
      <w:r w:rsidRPr="00B67130">
        <w:rPr>
          <w:rFonts w:ascii="Times New Roman" w:hAnsi="Times New Roman"/>
          <w:lang w:val="bg-BG"/>
        </w:rPr>
        <w:t xml:space="preserve">Предполагаемото увеличение с 2645 МВт на мощността на ВЕИ централите до 2030 год. (стр. 67) не е обосновано и противоречи на други документи. В  доклада на ЕСО през периода 2020 – 2028 год. за присъединяване към мрежите са предвидени </w:t>
      </w:r>
      <w:r w:rsidRPr="00B67130">
        <w:rPr>
          <w:rFonts w:ascii="Times New Roman" w:hAnsi="Times New Roman"/>
          <w:b/>
          <w:bCs/>
          <w:lang w:val="bg-BG"/>
        </w:rPr>
        <w:t>общо 445 МВт</w:t>
      </w:r>
      <w:r w:rsidRPr="00B67130">
        <w:rPr>
          <w:rFonts w:ascii="Times New Roman" w:hAnsi="Times New Roman"/>
          <w:lang w:val="bg-BG"/>
        </w:rPr>
        <w:t>, а според същия източник през 2028 год. в страната ще има 4614 МВт от ВЕИ, като на друго място те 6302 МВт. Обяснения за р</w:t>
      </w:r>
      <w:r>
        <w:rPr>
          <w:rFonts w:ascii="Times New Roman" w:hAnsi="Times New Roman"/>
          <w:lang w:val="bg-BG"/>
        </w:rPr>
        <w:t>а</w:t>
      </w:r>
      <w:r w:rsidRPr="00B67130">
        <w:rPr>
          <w:rFonts w:ascii="Times New Roman" w:hAnsi="Times New Roman"/>
          <w:lang w:val="bg-BG"/>
        </w:rPr>
        <w:t xml:space="preserve">зликата няма. Според доклада към 2030 год. обаче общата мощност на ВЕИ ще бъде 7126 МВт. Обяснения </w:t>
      </w:r>
      <w:r>
        <w:rPr>
          <w:rFonts w:ascii="Times New Roman" w:hAnsi="Times New Roman"/>
          <w:lang w:val="bg-BG"/>
        </w:rPr>
        <w:t xml:space="preserve">за разликата </w:t>
      </w:r>
      <w:r w:rsidRPr="00B67130">
        <w:rPr>
          <w:rFonts w:ascii="Times New Roman" w:hAnsi="Times New Roman"/>
          <w:lang w:val="bg-BG"/>
        </w:rPr>
        <w:t>отново няма.</w:t>
      </w:r>
    </w:p>
    <w:p w:rsidR="00173C23" w:rsidRPr="00B67130" w:rsidRDefault="00173C23" w:rsidP="000A6439">
      <w:pPr>
        <w:pStyle w:val="ydp259baa16msonormal"/>
        <w:rPr>
          <w:rFonts w:ascii="Times New Roman" w:hAnsi="Times New Roman"/>
          <w:sz w:val="20"/>
          <w:szCs w:val="20"/>
          <w:lang w:val="ru-RU"/>
        </w:rPr>
      </w:pPr>
      <w:r w:rsidRPr="00B67130">
        <w:rPr>
          <w:rFonts w:ascii="Times New Roman" w:hAnsi="Times New Roman"/>
          <w:lang w:val="bg-BG"/>
        </w:rPr>
        <w:t>Посочено е, че изграждането на нови ВЕИ след 20205 год. е възможно да бъде въз основа на  търгове. Не е ясно защо чак тогава, след като това е доказано добра световна практика, с която се постига значително снижаване на предлаганите цени на изкупуване на произвежданата електроенергия, при това в комбинация с други системни услуги на инвеститорите.</w:t>
      </w:r>
    </w:p>
    <w:p w:rsidR="00173C23" w:rsidRPr="00CA0D96" w:rsidRDefault="00173C23" w:rsidP="000A6439">
      <w:pPr>
        <w:pStyle w:val="ydp259baa16msonormal"/>
        <w:rPr>
          <w:rFonts w:ascii="Times New Roman" w:hAnsi="Times New Roman"/>
          <w:sz w:val="16"/>
          <w:szCs w:val="16"/>
          <w:lang w:val="bg-BG" w:eastAsia="bg-BG"/>
        </w:rPr>
      </w:pPr>
    </w:p>
    <w:p w:rsidR="00173C23" w:rsidRPr="00E02C77" w:rsidRDefault="00173C23" w:rsidP="002512B5">
      <w:pPr>
        <w:pStyle w:val="ydp259baa16msonormal"/>
        <w:ind w:firstLine="720"/>
        <w:rPr>
          <w:rFonts w:ascii="Times New Roman" w:hAnsi="Times New Roman"/>
          <w:b/>
          <w:lang w:val="bg-BG"/>
        </w:rPr>
      </w:pPr>
      <w:r>
        <w:rPr>
          <w:rFonts w:ascii="Times New Roman" w:hAnsi="Times New Roman"/>
          <w:b/>
          <w:lang w:val="bg-BG" w:eastAsia="bg-BG"/>
        </w:rPr>
        <w:t>2.1.4</w:t>
      </w:r>
      <w:r w:rsidRPr="00E02C77">
        <w:rPr>
          <w:rFonts w:ascii="Times New Roman" w:hAnsi="Times New Roman"/>
          <w:b/>
          <w:lang w:val="bg-BG" w:eastAsia="bg-BG"/>
        </w:rPr>
        <w:t xml:space="preserve">. </w:t>
      </w:r>
      <w:r w:rsidRPr="00E02C77">
        <w:rPr>
          <w:rFonts w:ascii="Times New Roman" w:hAnsi="Times New Roman"/>
          <w:b/>
          <w:lang w:val="ru-RU" w:eastAsia="bg-BG"/>
        </w:rPr>
        <w:t>Ядрена енергетика</w:t>
      </w:r>
      <w:r w:rsidRPr="00E02C77">
        <w:rPr>
          <w:rFonts w:ascii="Times New Roman" w:hAnsi="Times New Roman"/>
          <w:b/>
          <w:lang w:val="bg-BG"/>
        </w:rPr>
        <w:t xml:space="preserve"> </w:t>
      </w:r>
    </w:p>
    <w:p w:rsidR="00173C23" w:rsidRPr="00CA0D96" w:rsidRDefault="00173C23" w:rsidP="002512B5">
      <w:pPr>
        <w:pStyle w:val="ydp259baa16msonormal"/>
        <w:ind w:firstLine="720"/>
        <w:rPr>
          <w:rFonts w:ascii="Times New Roman" w:hAnsi="Times New Roman"/>
          <w:sz w:val="16"/>
          <w:szCs w:val="16"/>
          <w:lang w:val="bg-BG"/>
        </w:rPr>
      </w:pPr>
    </w:p>
    <w:p w:rsidR="00173C23" w:rsidRPr="00B67130" w:rsidRDefault="00173C23" w:rsidP="002512B5">
      <w:pPr>
        <w:pStyle w:val="ydp259baa16msonormal"/>
        <w:ind w:firstLine="720"/>
        <w:rPr>
          <w:rFonts w:ascii="Times New Roman" w:hAnsi="Times New Roman"/>
          <w:lang w:val="bg-BG"/>
        </w:rPr>
      </w:pPr>
      <w:r w:rsidRPr="00B67130">
        <w:rPr>
          <w:rFonts w:ascii="Times New Roman" w:hAnsi="Times New Roman"/>
          <w:lang w:val="bg-BG"/>
        </w:rPr>
        <w:t>Съгласно Плана новата АЕЦ „Белене” се планира да влезе в експлоатация след 2035 год. По този начин към 2040 год. делът на ядрената електроенергия ще достигне почти 60% (без 7-ми блок на АЕЦ „Козлодуй”). Дори една Франция, която владее всички ядрени технологии, необходими за развитие на един нов инвестиционен успех съгласно всички нови изисквания за безопасност планира към 2035 год. да намали дела на ядрената електроенергия от сегашните 72% на 50%, като замества част от мощностите с  ВЕИ, каквито усилено изгражда в момента. И основната причина за това е достигащото до краен предел натоварване на инфраструктурата й – хранилища, преработвателни заводи. На този фон нелогично е България, която има собствена експертиза единствено в областите на оперативното управление, радиационна защита и анализи на безопасността и все още недостатъчно развита инфраструктура на преработващи предприятия и хранилища, да планира да се превърне в световен лидер по дял на производство на електроенергия от ядрен произход.</w:t>
      </w:r>
    </w:p>
    <w:p w:rsidR="00173C23" w:rsidRPr="00B67130" w:rsidRDefault="00173C23" w:rsidP="002512B5">
      <w:pPr>
        <w:pStyle w:val="ydp259baa16msonormal"/>
        <w:ind w:firstLine="720"/>
        <w:rPr>
          <w:rFonts w:ascii="Times New Roman" w:hAnsi="Times New Roman"/>
          <w:b/>
          <w:bCs/>
          <w:lang w:val="ru-RU" w:eastAsia="bg-BG"/>
        </w:rPr>
      </w:pPr>
      <w:r w:rsidRPr="00B67130">
        <w:rPr>
          <w:rFonts w:ascii="Times New Roman" w:hAnsi="Times New Roman"/>
          <w:lang w:val="bg-BG"/>
        </w:rPr>
        <w:t>Не бива, обаче да се пренебрегва бъдещата потенциална роля на българската ядрена енергетика в процеса на борбата с климатичните промени, на което разчитат и редица други източноевропейски държави, но с балансирани стратегии с комбинирано приложение на други типове генериращи мощности.</w:t>
      </w:r>
    </w:p>
    <w:p w:rsidR="00173C23" w:rsidRPr="00B67130" w:rsidRDefault="00173C23" w:rsidP="00CA0D96">
      <w:pPr>
        <w:pStyle w:val="ydp259baa16msonormal"/>
        <w:ind w:firstLine="720"/>
        <w:rPr>
          <w:rFonts w:ascii="Times New Roman" w:hAnsi="Times New Roman"/>
          <w:b/>
          <w:bCs/>
          <w:lang w:val="bg-BG"/>
        </w:rPr>
      </w:pPr>
      <w:r w:rsidRPr="00B67130">
        <w:rPr>
          <w:rFonts w:ascii="Times New Roman" w:hAnsi="Times New Roman"/>
          <w:lang w:val="bg-BG" w:eastAsia="bg-BG"/>
        </w:rPr>
        <w:t>Включеното в Плана изграждане на н</w:t>
      </w:r>
      <w:r w:rsidRPr="00B67130">
        <w:rPr>
          <w:rFonts w:ascii="Times New Roman" w:hAnsi="Times New Roman"/>
          <w:lang w:val="ru-RU" w:eastAsia="bg-BG"/>
        </w:rPr>
        <w:t xml:space="preserve">ова ядрена мощност </w:t>
      </w:r>
      <w:r w:rsidRPr="00B67130">
        <w:rPr>
          <w:rFonts w:ascii="Times New Roman" w:hAnsi="Times New Roman"/>
          <w:lang w:val="bg-BG" w:eastAsia="bg-BG"/>
        </w:rPr>
        <w:t xml:space="preserve">в България </w:t>
      </w:r>
      <w:r w:rsidRPr="00B67130">
        <w:rPr>
          <w:rFonts w:ascii="Times New Roman" w:hAnsi="Times New Roman"/>
          <w:lang w:val="ru-RU" w:eastAsia="bg-BG"/>
        </w:rPr>
        <w:t>с два ядрени блока ВВЕР 1000</w:t>
      </w:r>
      <w:r w:rsidRPr="00B67130">
        <w:rPr>
          <w:rFonts w:ascii="Times New Roman" w:hAnsi="Times New Roman"/>
          <w:lang w:val="bg-BG" w:eastAsia="bg-BG"/>
        </w:rPr>
        <w:t>, обаче</w:t>
      </w:r>
      <w:r w:rsidRPr="00B67130">
        <w:rPr>
          <w:rFonts w:ascii="Times New Roman" w:hAnsi="Times New Roman"/>
          <w:lang w:val="ru-RU" w:eastAsia="bg-BG"/>
        </w:rPr>
        <w:t xml:space="preserve"> не изглежда обоснован, но е заложен безалтернативно в прогнозните баланси. Липсва анализ на риска, а такъв е задължителен дори само поради направеното заключение в ИНПЕК, че</w:t>
      </w:r>
      <w:r w:rsidRPr="00B67130">
        <w:rPr>
          <w:rFonts w:ascii="Times New Roman" w:hAnsi="Times New Roman"/>
          <w:i/>
          <w:iCs/>
          <w:lang w:val="ru-RU" w:eastAsia="bg-BG"/>
        </w:rPr>
        <w:t xml:space="preserve"> „общата инсталирана мощност от ВИ е относително висока спрямо разполагаемите мощности в страната, а наличието и на две големи единични мощности в АЕЦ „Козлодуй“ЕАД, всяка от 1 000 </w:t>
      </w:r>
      <w:r w:rsidRPr="00B67130">
        <w:rPr>
          <w:rFonts w:ascii="Times New Roman" w:hAnsi="Times New Roman"/>
          <w:i/>
          <w:iCs/>
          <w:lang w:eastAsia="bg-BG"/>
        </w:rPr>
        <w:t>MW</w:t>
      </w:r>
      <w:r w:rsidRPr="00B67130">
        <w:rPr>
          <w:rFonts w:ascii="Times New Roman" w:hAnsi="Times New Roman"/>
          <w:i/>
          <w:iCs/>
          <w:lang w:val="ru-RU" w:eastAsia="bg-BG"/>
        </w:rPr>
        <w:t>, в сравнително малка ЕЕС, са причина за поддържане на мощности в студен резерв, както и разполагаемост за предоставяне на допълнителни услуги (първично и вторично регулиране).“</w:t>
      </w:r>
      <w:r w:rsidRPr="00B67130">
        <w:rPr>
          <w:rFonts w:ascii="Times New Roman" w:hAnsi="Times New Roman"/>
          <w:lang w:val="ru-RU" w:eastAsia="bg-BG"/>
        </w:rPr>
        <w:t xml:space="preserve"> За всеки експерт в областта е ясно, че наличието на 4 блока ВВЕР 1000 в нашата система е </w:t>
      </w:r>
      <w:r>
        <w:rPr>
          <w:rFonts w:ascii="Times New Roman" w:hAnsi="Times New Roman"/>
          <w:lang w:val="ru-RU" w:eastAsia="bg-BG"/>
        </w:rPr>
        <w:t>високо</w:t>
      </w:r>
      <w:r w:rsidRPr="00B67130">
        <w:rPr>
          <w:rFonts w:ascii="Times New Roman" w:hAnsi="Times New Roman"/>
          <w:lang w:val="ru-RU" w:eastAsia="bg-BG"/>
        </w:rPr>
        <w:t xml:space="preserve"> рисковано начинание, от гледна точка на системна устойчивост.</w:t>
      </w:r>
      <w:r w:rsidRPr="00B67130">
        <w:rPr>
          <w:rFonts w:ascii="Times New Roman" w:hAnsi="Times New Roman"/>
          <w:b/>
          <w:bCs/>
          <w:lang w:val="bg-BG"/>
        </w:rPr>
        <w:t xml:space="preserve"> </w:t>
      </w:r>
      <w:r w:rsidRPr="00B67130">
        <w:rPr>
          <w:rFonts w:ascii="Times New Roman" w:hAnsi="Times New Roman"/>
          <w:lang w:val="bg-BG"/>
        </w:rPr>
        <w:t>Никъде в Плана това не е коментирано изграждането на 7-ми блок в АЕЦ „Козло</w:t>
      </w:r>
      <w:r>
        <w:rPr>
          <w:rFonts w:ascii="Times New Roman" w:hAnsi="Times New Roman"/>
          <w:lang w:val="bg-BG"/>
        </w:rPr>
        <w:t>дуй</w:t>
      </w:r>
      <w:r w:rsidRPr="00B67130">
        <w:rPr>
          <w:rFonts w:ascii="Times New Roman" w:hAnsi="Times New Roman"/>
          <w:lang w:val="bg-BG"/>
        </w:rPr>
        <w:t>”, а на енергийната общ</w:t>
      </w:r>
      <w:r>
        <w:rPr>
          <w:rFonts w:ascii="Times New Roman" w:hAnsi="Times New Roman"/>
          <w:lang w:val="bg-BG"/>
        </w:rPr>
        <w:t>ност</w:t>
      </w:r>
      <w:r w:rsidRPr="00B67130">
        <w:rPr>
          <w:rFonts w:ascii="Times New Roman" w:hAnsi="Times New Roman"/>
          <w:lang w:val="bg-BG"/>
        </w:rPr>
        <w:t xml:space="preserve"> в България е известно, че има решения на Правителството за това, одобрен е доклад за технико-икономическа обосновка, одобрен е доклад за ОВОС и АЯР е одобрила площадката. По неясни причини тези планове не са нотифицирани в ЕК.</w:t>
      </w:r>
    </w:p>
    <w:p w:rsidR="00173C23" w:rsidRPr="00B67130" w:rsidRDefault="00173C23" w:rsidP="00CA0D96">
      <w:pPr>
        <w:pStyle w:val="ydp259baa16msonormal"/>
        <w:ind w:firstLine="720"/>
        <w:rPr>
          <w:rFonts w:ascii="Times New Roman" w:hAnsi="Times New Roman"/>
          <w:b/>
          <w:bCs/>
          <w:lang w:val="bg-BG"/>
        </w:rPr>
      </w:pPr>
      <w:r w:rsidRPr="00B67130">
        <w:rPr>
          <w:rFonts w:ascii="Times New Roman" w:hAnsi="Times New Roman"/>
          <w:lang w:val="ru-RU" w:eastAsia="bg-BG"/>
        </w:rPr>
        <w:t>Тезата за регионално позициониране на так</w:t>
      </w:r>
      <w:r w:rsidRPr="00B67130">
        <w:rPr>
          <w:rFonts w:ascii="Times New Roman" w:hAnsi="Times New Roman"/>
          <w:lang w:val="bg-BG" w:eastAsia="bg-BG"/>
        </w:rPr>
        <w:t>ива</w:t>
      </w:r>
      <w:r w:rsidRPr="00B67130">
        <w:rPr>
          <w:rFonts w:ascii="Times New Roman" w:hAnsi="Times New Roman"/>
          <w:lang w:val="ru-RU" w:eastAsia="bg-BG"/>
        </w:rPr>
        <w:t xml:space="preserve"> нов</w:t>
      </w:r>
      <w:r w:rsidRPr="00B67130">
        <w:rPr>
          <w:rFonts w:ascii="Times New Roman" w:hAnsi="Times New Roman"/>
          <w:lang w:val="bg-BG" w:eastAsia="bg-BG"/>
        </w:rPr>
        <w:t>и</w:t>
      </w:r>
      <w:r w:rsidRPr="00B67130">
        <w:rPr>
          <w:rFonts w:ascii="Times New Roman" w:hAnsi="Times New Roman"/>
          <w:lang w:val="ru-RU" w:eastAsia="bg-BG"/>
        </w:rPr>
        <w:t xml:space="preserve"> </w:t>
      </w:r>
      <w:r w:rsidRPr="00B67130">
        <w:rPr>
          <w:rFonts w:ascii="Times New Roman" w:hAnsi="Times New Roman"/>
          <w:lang w:val="bg-BG" w:eastAsia="bg-BG"/>
        </w:rPr>
        <w:t xml:space="preserve">ядрени </w:t>
      </w:r>
      <w:r w:rsidRPr="00B67130">
        <w:rPr>
          <w:rFonts w:ascii="Times New Roman" w:hAnsi="Times New Roman"/>
          <w:lang w:val="ru-RU" w:eastAsia="bg-BG"/>
        </w:rPr>
        <w:t>мощност</w:t>
      </w:r>
      <w:r w:rsidRPr="00B67130">
        <w:rPr>
          <w:rFonts w:ascii="Times New Roman" w:hAnsi="Times New Roman"/>
          <w:lang w:val="bg-BG" w:eastAsia="bg-BG"/>
        </w:rPr>
        <w:t>и</w:t>
      </w:r>
      <w:r w:rsidRPr="00B67130">
        <w:rPr>
          <w:rFonts w:ascii="Times New Roman" w:hAnsi="Times New Roman"/>
          <w:lang w:val="ru-RU" w:eastAsia="bg-BG"/>
        </w:rPr>
        <w:t xml:space="preserve"> изобщо не </w:t>
      </w:r>
      <w:r w:rsidRPr="00B67130">
        <w:rPr>
          <w:rFonts w:ascii="Times New Roman" w:hAnsi="Times New Roman"/>
          <w:lang w:val="bg-BG" w:eastAsia="bg-BG"/>
        </w:rPr>
        <w:t>са</w:t>
      </w:r>
      <w:r w:rsidRPr="00B67130">
        <w:rPr>
          <w:rFonts w:ascii="Times New Roman" w:hAnsi="Times New Roman"/>
          <w:lang w:val="ru-RU" w:eastAsia="bg-BG"/>
        </w:rPr>
        <w:t xml:space="preserve"> разискван</w:t>
      </w:r>
      <w:r w:rsidRPr="00B67130">
        <w:rPr>
          <w:rFonts w:ascii="Times New Roman" w:hAnsi="Times New Roman"/>
          <w:lang w:val="bg-BG" w:eastAsia="bg-BG"/>
        </w:rPr>
        <w:t>и</w:t>
      </w:r>
      <w:r w:rsidRPr="00B67130">
        <w:rPr>
          <w:rFonts w:ascii="Times New Roman" w:hAnsi="Times New Roman"/>
          <w:lang w:val="ru-RU" w:eastAsia="bg-BG"/>
        </w:rPr>
        <w:t xml:space="preserve"> в </w:t>
      </w:r>
      <w:r w:rsidRPr="00B67130">
        <w:rPr>
          <w:rFonts w:ascii="Times New Roman" w:hAnsi="Times New Roman"/>
          <w:lang w:val="bg-BG" w:eastAsia="bg-BG"/>
        </w:rPr>
        <w:t>П</w:t>
      </w:r>
      <w:r w:rsidRPr="00B67130">
        <w:rPr>
          <w:rFonts w:ascii="Times New Roman" w:hAnsi="Times New Roman"/>
          <w:lang w:val="ru-RU" w:eastAsia="bg-BG"/>
        </w:rPr>
        <w:t xml:space="preserve">лана, като изключим текстове, които показват, че в съседните ни страни също се изграждат много нови мощности (например над 140 </w:t>
      </w:r>
      <w:r w:rsidRPr="00B67130">
        <w:rPr>
          <w:rFonts w:ascii="Times New Roman" w:hAnsi="Times New Roman"/>
          <w:lang w:eastAsia="bg-BG"/>
        </w:rPr>
        <w:t>GW</w:t>
      </w:r>
      <w:r w:rsidRPr="00B67130">
        <w:rPr>
          <w:rFonts w:ascii="Times New Roman" w:hAnsi="Times New Roman"/>
          <w:lang w:val="ru-RU" w:eastAsia="bg-BG"/>
        </w:rPr>
        <w:t xml:space="preserve"> нови мощности до 2040 г. в Турция). Изглежда, че за нуждите за обосноваване на мястото на тази нова </w:t>
      </w:r>
      <w:r w:rsidRPr="00B67130">
        <w:rPr>
          <w:rFonts w:ascii="Times New Roman" w:hAnsi="Times New Roman"/>
          <w:lang w:val="bg-BG" w:eastAsia="bg-BG"/>
        </w:rPr>
        <w:t xml:space="preserve">ядрена </w:t>
      </w:r>
      <w:r w:rsidRPr="00B67130">
        <w:rPr>
          <w:rFonts w:ascii="Times New Roman" w:hAnsi="Times New Roman"/>
          <w:lang w:val="ru-RU" w:eastAsia="bg-BG"/>
        </w:rPr>
        <w:t>мощност към 2040 година са „премахнати“ от баланса и голям брой ко-генерационни мощности, като е предвиден първоначално ръст на ТФЕЦ, а в последствие те са силно намалени до 2040 г. Така отново е подценена ролята на управлението на енергийните нужди в близост до потребителите, като се предпоставя отказ от използване на важна инфраструктура, изградена в общините.</w:t>
      </w:r>
      <w:r w:rsidRPr="00B67130">
        <w:rPr>
          <w:rFonts w:ascii="Times New Roman" w:hAnsi="Times New Roman"/>
          <w:b/>
          <w:bCs/>
          <w:lang w:val="bg-BG"/>
        </w:rPr>
        <w:t xml:space="preserve"> </w:t>
      </w:r>
    </w:p>
    <w:p w:rsidR="00173C23" w:rsidRPr="00B67130" w:rsidRDefault="00173C23" w:rsidP="00CA0D96">
      <w:pPr>
        <w:pStyle w:val="ydp259baa16msonormal"/>
        <w:ind w:firstLine="720"/>
        <w:rPr>
          <w:rFonts w:ascii="Times New Roman" w:hAnsi="Times New Roman"/>
          <w:sz w:val="20"/>
          <w:szCs w:val="20"/>
          <w:lang w:val="ru-RU"/>
        </w:rPr>
      </w:pPr>
      <w:r w:rsidRPr="00B67130">
        <w:rPr>
          <w:rFonts w:ascii="Times New Roman" w:hAnsi="Times New Roman"/>
          <w:lang w:val="bg-BG"/>
        </w:rPr>
        <w:t>Въпреки, че в Плана се споменава, че в АЕЦ”Козлодуй” е в ход процедура за подготовка на международен търг за д</w:t>
      </w:r>
      <w:r w:rsidRPr="00B67130">
        <w:rPr>
          <w:rFonts w:ascii="Times New Roman" w:hAnsi="Times New Roman"/>
          <w:b/>
          <w:bCs/>
          <w:lang w:val="bg-BG"/>
        </w:rPr>
        <w:t>иверсификация на доставките на свежо ядрено гориво</w:t>
      </w:r>
      <w:r w:rsidRPr="00B67130">
        <w:rPr>
          <w:rFonts w:ascii="Times New Roman" w:hAnsi="Times New Roman"/>
          <w:lang w:val="bg-BG"/>
        </w:rPr>
        <w:t xml:space="preserve"> за блокове 5 и 6, въпросът се смята за еднозначно решен, тъй като през 2019 год. е подписан договор с руската компания Росатом за доставки до края на 2025 год. на гориво с 18 месечен горивен цикъл. По този начин, вероятно диверсификация в близките 5-10 години няма да има.</w:t>
      </w:r>
    </w:p>
    <w:p w:rsidR="00173C23" w:rsidRPr="00B67130" w:rsidRDefault="00173C23" w:rsidP="000A6439">
      <w:pPr>
        <w:pStyle w:val="Default"/>
        <w:spacing w:after="120"/>
        <w:rPr>
          <w:rFonts w:ascii="Times New Roman" w:hAnsi="Times New Roman" w:cs="Times New Roman"/>
          <w:b/>
          <w:bCs/>
          <w:color w:val="auto"/>
          <w:lang w:val="ru-RU"/>
        </w:rPr>
      </w:pPr>
    </w:p>
    <w:p w:rsidR="00173C23" w:rsidRPr="00E02C77" w:rsidRDefault="00173C23" w:rsidP="00CA0D96">
      <w:pPr>
        <w:pStyle w:val="Default"/>
        <w:spacing w:after="120"/>
        <w:ind w:firstLine="720"/>
        <w:rPr>
          <w:rFonts w:ascii="Times New Roman" w:hAnsi="Times New Roman" w:cs="Times New Roman"/>
          <w:b/>
          <w:bCs/>
          <w:color w:val="auto"/>
        </w:rPr>
      </w:pPr>
      <w:r w:rsidRPr="00E02C77">
        <w:rPr>
          <w:rFonts w:ascii="Times New Roman" w:hAnsi="Times New Roman" w:cs="Times New Roman"/>
          <w:b/>
          <w:bCs/>
          <w:color w:val="auto"/>
        </w:rPr>
        <w:t>2</w:t>
      </w:r>
      <w:r w:rsidRPr="00E02C77">
        <w:rPr>
          <w:rFonts w:ascii="Times New Roman" w:hAnsi="Times New Roman" w:cs="Times New Roman"/>
          <w:b/>
          <w:color w:val="auto"/>
        </w:rPr>
        <w:t>.1.5.Енергия за отопление и охлаждане</w:t>
      </w:r>
    </w:p>
    <w:p w:rsidR="00173C23" w:rsidRPr="008A6ECA" w:rsidRDefault="00173C23" w:rsidP="00CA0D96">
      <w:pPr>
        <w:pStyle w:val="Default"/>
        <w:spacing w:after="120"/>
        <w:ind w:firstLine="720"/>
        <w:rPr>
          <w:rFonts w:ascii="Times New Roman" w:hAnsi="Times New Roman" w:cs="Times New Roman"/>
          <w:color w:val="auto"/>
        </w:rPr>
      </w:pPr>
      <w:r w:rsidRPr="008A6ECA">
        <w:rPr>
          <w:rFonts w:ascii="Times New Roman" w:hAnsi="Times New Roman" w:cs="Times New Roman"/>
          <w:color w:val="auto"/>
        </w:rPr>
        <w:t>"</w:t>
      </w:r>
      <w:r w:rsidRPr="008A6ECA">
        <w:rPr>
          <w:rFonts w:ascii="Times New Roman" w:hAnsi="Times New Roman" w:cs="Times New Roman"/>
          <w:i/>
          <w:iCs/>
          <w:color w:val="auto"/>
        </w:rPr>
        <w:t>Ще се насърчава използването на ефективно централно отопление и централно охлаждане</w:t>
      </w:r>
      <w:r w:rsidRPr="008A6ECA">
        <w:rPr>
          <w:rFonts w:ascii="Times New Roman" w:hAnsi="Times New Roman" w:cs="Times New Roman"/>
          <w:color w:val="auto"/>
        </w:rPr>
        <w:t>", като същевременно ще се провежда "</w:t>
      </w:r>
      <w:r w:rsidRPr="008A6ECA">
        <w:rPr>
          <w:rFonts w:ascii="Times New Roman" w:hAnsi="Times New Roman" w:cs="Times New Roman"/>
          <w:i/>
          <w:iCs/>
          <w:color w:val="auto"/>
        </w:rPr>
        <w:t>рехабилитацията на топлопреносните мрежи и подмяната на остарелите директни абонатни топлофикационни станции</w:t>
      </w:r>
      <w:r w:rsidRPr="008A6ECA">
        <w:rPr>
          <w:rFonts w:ascii="Times New Roman" w:hAnsi="Times New Roman" w:cs="Times New Roman"/>
          <w:color w:val="auto"/>
        </w:rPr>
        <w:t>"</w:t>
      </w:r>
      <w:r>
        <w:rPr>
          <w:rFonts w:ascii="Times New Roman" w:hAnsi="Times New Roman" w:cs="Times New Roman"/>
          <w:color w:val="auto"/>
        </w:rPr>
        <w:t xml:space="preserve">. </w:t>
      </w:r>
      <w:r w:rsidRPr="008A6ECA">
        <w:rPr>
          <w:rFonts w:ascii="Times New Roman" w:hAnsi="Times New Roman" w:cs="Times New Roman"/>
          <w:color w:val="auto"/>
        </w:rPr>
        <w:t>Определено е заимстван стар текст - в българските ТФ мрежи отдавна са подменени старите директни абонатни станци</w:t>
      </w:r>
      <w:r>
        <w:rPr>
          <w:rFonts w:ascii="Times New Roman" w:hAnsi="Times New Roman" w:cs="Times New Roman"/>
          <w:color w:val="auto"/>
        </w:rPr>
        <w:t>и</w:t>
      </w:r>
      <w:r w:rsidRPr="008A6ECA">
        <w:rPr>
          <w:rFonts w:ascii="Times New Roman" w:hAnsi="Times New Roman" w:cs="Times New Roman"/>
          <w:color w:val="auto"/>
        </w:rPr>
        <w:t xml:space="preserve"> с модерни такива, тръбните водо-водни топлообменници са заменени с високоефективни пластинчати такива.</w:t>
      </w:r>
    </w:p>
    <w:p w:rsidR="00173C23" w:rsidRPr="008A6ECA" w:rsidRDefault="00173C23" w:rsidP="00CA0D96">
      <w:pPr>
        <w:pStyle w:val="Default"/>
        <w:spacing w:after="120"/>
        <w:ind w:firstLine="720"/>
        <w:rPr>
          <w:rFonts w:ascii="Times New Roman" w:hAnsi="Times New Roman" w:cs="Times New Roman"/>
          <w:color w:val="auto"/>
        </w:rPr>
      </w:pPr>
      <w:r w:rsidRPr="008A6ECA">
        <w:rPr>
          <w:rFonts w:ascii="Times New Roman" w:hAnsi="Times New Roman" w:cs="Times New Roman"/>
          <w:color w:val="auto"/>
        </w:rPr>
        <w:t xml:space="preserve">По отношение на </w:t>
      </w:r>
      <w:r>
        <w:rPr>
          <w:rFonts w:ascii="Times New Roman" w:hAnsi="Times New Roman" w:cs="Times New Roman"/>
          <w:color w:val="auto"/>
        </w:rPr>
        <w:t xml:space="preserve">рехабилитацията на ТФ мрежи България силно </w:t>
      </w:r>
      <w:r w:rsidRPr="008A6ECA">
        <w:rPr>
          <w:rFonts w:ascii="Times New Roman" w:hAnsi="Times New Roman" w:cs="Times New Roman"/>
          <w:color w:val="auto"/>
        </w:rPr>
        <w:t>изоста</w:t>
      </w:r>
      <w:r>
        <w:rPr>
          <w:rFonts w:ascii="Times New Roman" w:hAnsi="Times New Roman" w:cs="Times New Roman"/>
          <w:color w:val="auto"/>
        </w:rPr>
        <w:t>ва</w:t>
      </w:r>
      <w:r w:rsidRPr="008A6ECA">
        <w:rPr>
          <w:rFonts w:ascii="Times New Roman" w:hAnsi="Times New Roman" w:cs="Times New Roman"/>
          <w:color w:val="auto"/>
        </w:rPr>
        <w:t>. Само в София общата дължина на топлофикационната мрежа е над 950 км. Около 75 процента от преносната мрежа е положена в непроходими канали, без възможност за ефектив</w:t>
      </w:r>
      <w:r>
        <w:rPr>
          <w:rFonts w:ascii="Times New Roman" w:hAnsi="Times New Roman" w:cs="Times New Roman"/>
          <w:color w:val="auto"/>
        </w:rPr>
        <w:t>на</w:t>
      </w:r>
      <w:r w:rsidRPr="008A6ECA">
        <w:rPr>
          <w:rFonts w:ascii="Times New Roman" w:hAnsi="Times New Roman" w:cs="Times New Roman"/>
          <w:color w:val="auto"/>
        </w:rPr>
        <w:t xml:space="preserve"> </w:t>
      </w:r>
      <w:r>
        <w:rPr>
          <w:rFonts w:ascii="Times New Roman" w:hAnsi="Times New Roman" w:cs="Times New Roman"/>
          <w:color w:val="auto"/>
        </w:rPr>
        <w:t xml:space="preserve">текуща </w:t>
      </w:r>
      <w:r w:rsidRPr="008A6ECA">
        <w:rPr>
          <w:rFonts w:ascii="Times New Roman" w:hAnsi="Times New Roman" w:cs="Times New Roman"/>
          <w:color w:val="auto"/>
        </w:rPr>
        <w:t>пр</w:t>
      </w:r>
      <w:r>
        <w:rPr>
          <w:rFonts w:ascii="Times New Roman" w:hAnsi="Times New Roman" w:cs="Times New Roman"/>
          <w:color w:val="auto"/>
        </w:rPr>
        <w:t>офилактика</w:t>
      </w:r>
      <w:r w:rsidRPr="008A6ECA">
        <w:rPr>
          <w:rFonts w:ascii="Times New Roman" w:hAnsi="Times New Roman" w:cs="Times New Roman"/>
          <w:color w:val="auto"/>
        </w:rPr>
        <w:t>. Високоефективните предварително изолирани тръби са с дял само 24%, положени в монтажни колектори (5%) и на път</w:t>
      </w:r>
      <w:r>
        <w:rPr>
          <w:rFonts w:ascii="Times New Roman" w:hAnsi="Times New Roman" w:cs="Times New Roman"/>
          <w:color w:val="auto"/>
        </w:rPr>
        <w:t>ища</w:t>
      </w:r>
      <w:r w:rsidRPr="008A6ECA">
        <w:rPr>
          <w:rFonts w:ascii="Times New Roman" w:hAnsi="Times New Roman" w:cs="Times New Roman"/>
          <w:color w:val="auto"/>
        </w:rPr>
        <w:t xml:space="preserve"> на открито (2,8%). В инвестиционните годишни планове, ТФ София планира подмяна на 30 км тръбни участъци годишно. До 2030г. ще се подменят около 1/3 от тези участъци</w:t>
      </w:r>
      <w:r>
        <w:rPr>
          <w:rFonts w:ascii="Times New Roman" w:hAnsi="Times New Roman" w:cs="Times New Roman"/>
          <w:color w:val="auto"/>
        </w:rPr>
        <w:t>, но в</w:t>
      </w:r>
      <w:r w:rsidRPr="008A6ECA">
        <w:rPr>
          <w:rFonts w:ascii="Times New Roman" w:hAnsi="Times New Roman" w:cs="Times New Roman"/>
          <w:color w:val="auto"/>
        </w:rPr>
        <w:t xml:space="preserve"> другите топлофицирани градове мрежата е също над 40</w:t>
      </w:r>
      <w:r>
        <w:rPr>
          <w:rFonts w:ascii="Times New Roman" w:hAnsi="Times New Roman" w:cs="Times New Roman"/>
          <w:color w:val="auto"/>
        </w:rPr>
        <w:t xml:space="preserve"> </w:t>
      </w:r>
      <w:r w:rsidRPr="008A6ECA">
        <w:rPr>
          <w:rFonts w:ascii="Times New Roman" w:hAnsi="Times New Roman" w:cs="Times New Roman"/>
          <w:color w:val="auto"/>
        </w:rPr>
        <w:t>год.</w:t>
      </w:r>
      <w:r>
        <w:rPr>
          <w:rFonts w:ascii="Times New Roman" w:hAnsi="Times New Roman" w:cs="Times New Roman"/>
          <w:color w:val="auto"/>
        </w:rPr>
        <w:t>, а за това не става дума в Плана.</w:t>
      </w:r>
    </w:p>
    <w:p w:rsidR="00173C23" w:rsidRPr="00E02C77" w:rsidRDefault="00173C23" w:rsidP="00CA0D96">
      <w:pPr>
        <w:pStyle w:val="Default"/>
        <w:spacing w:after="120"/>
        <w:ind w:firstLine="720"/>
        <w:rPr>
          <w:rFonts w:ascii="Times New Roman" w:hAnsi="Times New Roman" w:cs="Times New Roman"/>
          <w:color w:val="auto"/>
        </w:rPr>
      </w:pPr>
      <w:r w:rsidRPr="008A6ECA">
        <w:rPr>
          <w:rFonts w:ascii="Times New Roman" w:hAnsi="Times New Roman" w:cs="Times New Roman"/>
          <w:color w:val="auto"/>
        </w:rPr>
        <w:t xml:space="preserve">На стр. 106 в плана е записано </w:t>
      </w:r>
      <w:r w:rsidRPr="008A6ECA">
        <w:rPr>
          <w:rFonts w:ascii="Times New Roman" w:hAnsi="Times New Roman" w:cs="Times New Roman"/>
          <w:i/>
          <w:iCs/>
          <w:color w:val="auto"/>
        </w:rPr>
        <w:t>"Реконструкция на когенерационни инсталации и котли за централно отопление с турбини на природен газ"</w:t>
      </w:r>
      <w:r w:rsidRPr="008A6ECA">
        <w:rPr>
          <w:rFonts w:ascii="Times New Roman" w:hAnsi="Times New Roman" w:cs="Times New Roman"/>
          <w:color w:val="auto"/>
        </w:rPr>
        <w:t xml:space="preserve"> - текстът е неточен.</w:t>
      </w:r>
      <w:r>
        <w:rPr>
          <w:rFonts w:ascii="Times New Roman" w:hAnsi="Times New Roman" w:cs="Times New Roman"/>
          <w:color w:val="auto"/>
        </w:rPr>
        <w:t xml:space="preserve"> </w:t>
      </w:r>
      <w:r w:rsidRPr="008A6ECA">
        <w:rPr>
          <w:rFonts w:ascii="Times New Roman" w:hAnsi="Times New Roman" w:cs="Times New Roman"/>
          <w:color w:val="auto"/>
        </w:rPr>
        <w:t>По-</w:t>
      </w:r>
      <w:r>
        <w:rPr>
          <w:rFonts w:ascii="Times New Roman" w:hAnsi="Times New Roman" w:cs="Times New Roman"/>
          <w:color w:val="auto"/>
        </w:rPr>
        <w:t xml:space="preserve">ефективно би било </w:t>
      </w:r>
      <w:r w:rsidRPr="008A6ECA">
        <w:rPr>
          <w:rFonts w:ascii="Times New Roman" w:hAnsi="Times New Roman" w:cs="Times New Roman"/>
          <w:color w:val="auto"/>
        </w:rPr>
        <w:t xml:space="preserve"> да се планира замяна на всички водогрейни котли за производство на топла вода (дори тези </w:t>
      </w:r>
      <w:r>
        <w:rPr>
          <w:rFonts w:ascii="Times New Roman" w:hAnsi="Times New Roman" w:cs="Times New Roman"/>
          <w:color w:val="auto"/>
        </w:rPr>
        <w:t xml:space="preserve">изгарящи природен </w:t>
      </w:r>
      <w:r w:rsidRPr="008A6ECA">
        <w:rPr>
          <w:rFonts w:ascii="Times New Roman" w:hAnsi="Times New Roman" w:cs="Times New Roman"/>
          <w:color w:val="auto"/>
        </w:rPr>
        <w:t xml:space="preserve">газ) с </w:t>
      </w:r>
      <w:r>
        <w:rPr>
          <w:rFonts w:ascii="Times New Roman" w:hAnsi="Times New Roman" w:cs="Times New Roman"/>
          <w:color w:val="auto"/>
        </w:rPr>
        <w:t xml:space="preserve">високоефективните </w:t>
      </w:r>
      <w:r w:rsidRPr="008A6ECA">
        <w:rPr>
          <w:rFonts w:ascii="Times New Roman" w:hAnsi="Times New Roman" w:cs="Times New Roman"/>
          <w:color w:val="auto"/>
        </w:rPr>
        <w:t>ко</w:t>
      </w:r>
      <w:r>
        <w:rPr>
          <w:rFonts w:ascii="Times New Roman" w:hAnsi="Times New Roman" w:cs="Times New Roman"/>
          <w:color w:val="auto"/>
        </w:rPr>
        <w:t>-</w:t>
      </w:r>
      <w:r w:rsidRPr="008A6ECA">
        <w:rPr>
          <w:rFonts w:ascii="Times New Roman" w:hAnsi="Times New Roman" w:cs="Times New Roman"/>
          <w:color w:val="auto"/>
        </w:rPr>
        <w:t xml:space="preserve">генерационни </w:t>
      </w:r>
      <w:r>
        <w:rPr>
          <w:rFonts w:ascii="Times New Roman" w:hAnsi="Times New Roman" w:cs="Times New Roman"/>
          <w:color w:val="auto"/>
        </w:rPr>
        <w:t xml:space="preserve">паро-газови </w:t>
      </w:r>
      <w:r w:rsidRPr="008A6ECA">
        <w:rPr>
          <w:rFonts w:ascii="Times New Roman" w:hAnsi="Times New Roman" w:cs="Times New Roman"/>
          <w:color w:val="auto"/>
        </w:rPr>
        <w:t>инсталации</w:t>
      </w:r>
      <w:r>
        <w:rPr>
          <w:rFonts w:ascii="Times New Roman" w:hAnsi="Times New Roman" w:cs="Times New Roman"/>
          <w:color w:val="auto"/>
        </w:rPr>
        <w:t xml:space="preserve">, </w:t>
      </w:r>
      <w:r w:rsidRPr="008A6ECA">
        <w:rPr>
          <w:rFonts w:ascii="Times New Roman" w:hAnsi="Times New Roman" w:cs="Times New Roman"/>
          <w:color w:val="auto"/>
        </w:rPr>
        <w:t xml:space="preserve">т.е. да </w:t>
      </w:r>
      <w:r>
        <w:rPr>
          <w:rFonts w:ascii="Times New Roman" w:hAnsi="Times New Roman" w:cs="Times New Roman"/>
          <w:color w:val="auto"/>
        </w:rPr>
        <w:t xml:space="preserve">се сложи край на разхищението на природен газ за подгряване на вода за </w:t>
      </w:r>
      <w:r w:rsidRPr="008A6ECA">
        <w:rPr>
          <w:rFonts w:ascii="Times New Roman" w:hAnsi="Times New Roman" w:cs="Times New Roman"/>
          <w:color w:val="auto"/>
        </w:rPr>
        <w:t xml:space="preserve"> топлофицикация/охлаждане без ко</w:t>
      </w:r>
      <w:r>
        <w:rPr>
          <w:rFonts w:ascii="Times New Roman" w:hAnsi="Times New Roman" w:cs="Times New Roman"/>
          <w:color w:val="auto"/>
        </w:rPr>
        <w:t>-</w:t>
      </w:r>
      <w:r w:rsidRPr="008A6ECA">
        <w:rPr>
          <w:rFonts w:ascii="Times New Roman" w:hAnsi="Times New Roman" w:cs="Times New Roman"/>
          <w:color w:val="auto"/>
        </w:rPr>
        <w:t>генерация</w:t>
      </w:r>
      <w:r>
        <w:rPr>
          <w:rFonts w:ascii="Times New Roman" w:hAnsi="Times New Roman" w:cs="Times New Roman"/>
          <w:color w:val="auto"/>
        </w:rPr>
        <w:t xml:space="preserve">, което би повишило енергийната ефективност на горивния цикъл над 60% </w:t>
      </w:r>
      <w:r w:rsidRPr="008A6ECA">
        <w:rPr>
          <w:rFonts w:ascii="Times New Roman" w:hAnsi="Times New Roman" w:cs="Times New Roman"/>
          <w:color w:val="auto"/>
        </w:rPr>
        <w:t>.</w:t>
      </w:r>
    </w:p>
    <w:p w:rsidR="00173C23" w:rsidRPr="00BD662C" w:rsidRDefault="00173C23" w:rsidP="000A6439">
      <w:pPr>
        <w:pStyle w:val="Default"/>
        <w:numPr>
          <w:ilvl w:val="1"/>
          <w:numId w:val="22"/>
        </w:numPr>
        <w:spacing w:after="120"/>
        <w:rPr>
          <w:rFonts w:ascii="Times New Roman" w:hAnsi="Times New Roman" w:cs="Times New Roman"/>
          <w:b/>
          <w:bCs/>
          <w:color w:val="auto"/>
          <w:sz w:val="28"/>
          <w:szCs w:val="28"/>
        </w:rPr>
      </w:pPr>
      <w:r w:rsidRPr="00BD662C">
        <w:rPr>
          <w:rFonts w:ascii="Times New Roman" w:hAnsi="Times New Roman" w:cs="Times New Roman"/>
          <w:b/>
          <w:bCs/>
          <w:color w:val="auto"/>
          <w:sz w:val="28"/>
          <w:szCs w:val="28"/>
        </w:rPr>
        <w:t>Ключови секторни политики</w:t>
      </w:r>
    </w:p>
    <w:p w:rsidR="00173C23" w:rsidRPr="00E02C77" w:rsidRDefault="00173C23" w:rsidP="000A6439">
      <w:pPr>
        <w:pStyle w:val="Default"/>
        <w:numPr>
          <w:ilvl w:val="2"/>
          <w:numId w:val="22"/>
        </w:numPr>
        <w:spacing w:after="120"/>
        <w:rPr>
          <w:rFonts w:ascii="Times New Roman" w:hAnsi="Times New Roman" w:cs="Times New Roman"/>
          <w:b/>
          <w:color w:val="auto"/>
        </w:rPr>
      </w:pPr>
      <w:r w:rsidRPr="00E02C77">
        <w:rPr>
          <w:rFonts w:ascii="Times New Roman" w:hAnsi="Times New Roman" w:cs="Times New Roman"/>
          <w:b/>
          <w:color w:val="auto"/>
        </w:rPr>
        <w:t>Транспортен сектор</w:t>
      </w:r>
    </w:p>
    <w:p w:rsidR="00173C23" w:rsidRPr="008A6ECA" w:rsidRDefault="00173C23" w:rsidP="00CA0D96">
      <w:pPr>
        <w:pStyle w:val="Default"/>
        <w:spacing w:after="120"/>
        <w:ind w:firstLine="720"/>
        <w:rPr>
          <w:rFonts w:ascii="Times New Roman" w:hAnsi="Times New Roman" w:cs="Times New Roman"/>
          <w:color w:val="auto"/>
        </w:rPr>
      </w:pPr>
      <w:r w:rsidRPr="008A6ECA">
        <w:rPr>
          <w:rFonts w:ascii="Times New Roman" w:hAnsi="Times New Roman" w:cs="Times New Roman"/>
          <w:color w:val="auto"/>
        </w:rPr>
        <w:t xml:space="preserve">На стр. 107 от плана са разписани </w:t>
      </w:r>
      <w:r w:rsidRPr="008A6ECA">
        <w:rPr>
          <w:rFonts w:ascii="Times New Roman" w:hAnsi="Times New Roman" w:cs="Times New Roman"/>
          <w:i/>
          <w:iCs/>
          <w:color w:val="auto"/>
        </w:rPr>
        <w:t>"Обобщени политики и мерки за битовия и обществен сектор",</w:t>
      </w:r>
      <w:r w:rsidRPr="008A6ECA">
        <w:rPr>
          <w:rFonts w:ascii="Times New Roman" w:hAnsi="Times New Roman" w:cs="Times New Roman"/>
          <w:color w:val="auto"/>
        </w:rPr>
        <w:t xml:space="preserve"> но липсват каквито и да са индикативни показатели и срокове за реализация.</w:t>
      </w:r>
    </w:p>
    <w:p w:rsidR="00173C23" w:rsidRPr="008A6ECA" w:rsidRDefault="00173C23" w:rsidP="000A6439">
      <w:pPr>
        <w:pStyle w:val="Default"/>
        <w:spacing w:after="120"/>
        <w:rPr>
          <w:rFonts w:ascii="Times New Roman" w:hAnsi="Times New Roman" w:cs="Times New Roman"/>
          <w:i/>
          <w:iCs/>
          <w:color w:val="auto"/>
        </w:rPr>
      </w:pPr>
      <w:r w:rsidRPr="008A6ECA">
        <w:rPr>
          <w:rFonts w:ascii="Times New Roman" w:hAnsi="Times New Roman" w:cs="Times New Roman"/>
          <w:color w:val="auto"/>
        </w:rPr>
        <w:t xml:space="preserve">Много пожелателни </w:t>
      </w:r>
      <w:r>
        <w:rPr>
          <w:rFonts w:ascii="Times New Roman" w:hAnsi="Times New Roman" w:cs="Times New Roman"/>
          <w:color w:val="auto"/>
        </w:rPr>
        <w:t xml:space="preserve">са </w:t>
      </w:r>
      <w:r w:rsidRPr="008A6ECA">
        <w:rPr>
          <w:rFonts w:ascii="Times New Roman" w:hAnsi="Times New Roman" w:cs="Times New Roman"/>
          <w:color w:val="auto"/>
        </w:rPr>
        <w:t>текстове</w:t>
      </w:r>
      <w:r>
        <w:rPr>
          <w:rFonts w:ascii="Times New Roman" w:hAnsi="Times New Roman" w:cs="Times New Roman"/>
          <w:color w:val="auto"/>
        </w:rPr>
        <w:t>те</w:t>
      </w:r>
      <w:r w:rsidRPr="00091769">
        <w:rPr>
          <w:rFonts w:ascii="Times New Roman" w:hAnsi="Times New Roman" w:cs="Times New Roman"/>
          <w:color w:val="auto"/>
          <w:lang w:val="ru-RU"/>
        </w:rPr>
        <w:t xml:space="preserve"> </w:t>
      </w:r>
      <w:r>
        <w:rPr>
          <w:rFonts w:ascii="Times New Roman" w:hAnsi="Times New Roman" w:cs="Times New Roman"/>
          <w:color w:val="auto"/>
        </w:rPr>
        <w:t>в</w:t>
      </w:r>
      <w:r w:rsidRPr="008A6ECA">
        <w:rPr>
          <w:rFonts w:ascii="Times New Roman" w:hAnsi="Times New Roman" w:cs="Times New Roman"/>
          <w:color w:val="auto"/>
        </w:rPr>
        <w:t>ъв връзка предвидените "</w:t>
      </w:r>
      <w:r w:rsidRPr="008A6ECA">
        <w:rPr>
          <w:rFonts w:ascii="Times New Roman" w:hAnsi="Times New Roman" w:cs="Times New Roman"/>
          <w:i/>
          <w:iCs/>
          <w:color w:val="auto"/>
        </w:rPr>
        <w:t>мерки в транспортния сектор с непосредствено действие:</w:t>
      </w:r>
    </w:p>
    <w:p w:rsidR="00173C23" w:rsidRDefault="00173C23" w:rsidP="000A6439">
      <w:pPr>
        <w:pStyle w:val="Default"/>
        <w:spacing w:after="120"/>
        <w:ind w:firstLine="567"/>
        <w:rPr>
          <w:rFonts w:ascii="Times New Roman" w:hAnsi="Times New Roman" w:cs="Times New Roman"/>
          <w:i/>
          <w:iCs/>
          <w:color w:val="auto"/>
        </w:rPr>
      </w:pPr>
      <w:r w:rsidRPr="008A6ECA">
        <w:rPr>
          <w:rFonts w:ascii="Times New Roman" w:hAnsi="Times New Roman" w:cs="Times New Roman"/>
          <w:i/>
          <w:iCs/>
          <w:color w:val="auto"/>
        </w:rPr>
        <w:t xml:space="preserve"> • .... модернизация на съществуващата пътна инфраструктура за осигуряване на оптимална скорост и оптимални режими на управление на автомобилните двигатели; </w:t>
      </w:r>
    </w:p>
    <w:p w:rsidR="00173C23" w:rsidRPr="008A6ECA" w:rsidRDefault="00173C23" w:rsidP="000A6439">
      <w:pPr>
        <w:pStyle w:val="Default"/>
        <w:spacing w:after="120"/>
        <w:ind w:firstLine="567"/>
        <w:rPr>
          <w:rFonts w:ascii="Times New Roman" w:hAnsi="Times New Roman" w:cs="Times New Roman"/>
          <w:i/>
          <w:iCs/>
          <w:color w:val="auto"/>
        </w:rPr>
      </w:pPr>
      <w:r w:rsidRPr="008A6ECA">
        <w:rPr>
          <w:rFonts w:ascii="Times New Roman" w:hAnsi="Times New Roman" w:cs="Times New Roman"/>
          <w:i/>
          <w:iCs/>
          <w:color w:val="auto"/>
        </w:rPr>
        <w:t>• Въвеждане на интелигентни транспортни системи по националната и градската пътна мрежа"</w:t>
      </w:r>
    </w:p>
    <w:p w:rsidR="00173C23" w:rsidRDefault="00173C23" w:rsidP="00CA0D96">
      <w:pPr>
        <w:pStyle w:val="Default"/>
        <w:spacing w:after="120"/>
        <w:ind w:firstLine="567"/>
        <w:rPr>
          <w:rFonts w:ascii="Times New Roman" w:hAnsi="Times New Roman" w:cs="Times New Roman"/>
          <w:color w:val="auto"/>
        </w:rPr>
      </w:pPr>
      <w:r w:rsidRPr="008A6ECA">
        <w:rPr>
          <w:rFonts w:ascii="Times New Roman" w:hAnsi="Times New Roman" w:cs="Times New Roman"/>
          <w:color w:val="auto"/>
        </w:rPr>
        <w:t xml:space="preserve">На стр. 119  е планирано </w:t>
      </w:r>
      <w:r w:rsidRPr="00C277D0">
        <w:rPr>
          <w:rFonts w:ascii="Times New Roman" w:hAnsi="Times New Roman" w:cs="Times New Roman"/>
          <w:i/>
          <w:iCs/>
          <w:color w:val="auto"/>
        </w:rPr>
        <w:t>"Създаване на условия за развитие и използването на биогорива от ново поколение, възобновяеми течни и газообразни горива от небиологичен произход и рециклирани въглеродни горива".</w:t>
      </w:r>
      <w:r>
        <w:rPr>
          <w:rFonts w:ascii="Times New Roman" w:hAnsi="Times New Roman" w:cs="Times New Roman"/>
          <w:color w:val="auto"/>
        </w:rPr>
        <w:t xml:space="preserve"> </w:t>
      </w:r>
      <w:r w:rsidRPr="008A6ECA">
        <w:rPr>
          <w:rFonts w:ascii="Times New Roman" w:hAnsi="Times New Roman" w:cs="Times New Roman"/>
          <w:color w:val="auto"/>
        </w:rPr>
        <w:t>Отново липсва конкретика. Какви технологии се имат предвид?</w:t>
      </w:r>
    </w:p>
    <w:p w:rsidR="00173C23" w:rsidRDefault="00173C23" w:rsidP="00BD66E7">
      <w:pPr>
        <w:pStyle w:val="Default"/>
        <w:spacing w:after="120"/>
        <w:ind w:firstLine="708"/>
        <w:rPr>
          <w:rFonts w:ascii="Times New Roman" w:hAnsi="Times New Roman" w:cs="Times New Roman"/>
          <w:color w:val="auto"/>
        </w:rPr>
      </w:pPr>
      <w:r>
        <w:rPr>
          <w:rFonts w:ascii="Times New Roman" w:hAnsi="Times New Roman" w:cs="Times New Roman"/>
          <w:color w:val="auto"/>
          <w:lang w:eastAsia="bg-BG"/>
        </w:rPr>
        <w:t xml:space="preserve">В Плана липсват както политиките, така и конкретни планове за намаляване на емисиите в този сектор. А следва </w:t>
      </w:r>
      <w:r w:rsidRPr="008A6ECA">
        <w:rPr>
          <w:rFonts w:ascii="Times New Roman" w:hAnsi="Times New Roman" w:cs="Times New Roman"/>
          <w:color w:val="auto"/>
          <w:lang w:eastAsia="bg-BG"/>
        </w:rPr>
        <w:t xml:space="preserve">да се </w:t>
      </w:r>
      <w:r>
        <w:rPr>
          <w:rFonts w:ascii="Times New Roman" w:hAnsi="Times New Roman" w:cs="Times New Roman"/>
          <w:color w:val="auto"/>
          <w:lang w:eastAsia="bg-BG"/>
        </w:rPr>
        <w:t xml:space="preserve">изтъкне, че това е една от бързо развиващите се направления за </w:t>
      </w:r>
      <w:r w:rsidRPr="00091769">
        <w:rPr>
          <w:rFonts w:ascii="Times New Roman" w:hAnsi="Times New Roman" w:cs="Times New Roman"/>
          <w:color w:val="auto"/>
          <w:lang w:val="ru-RU"/>
        </w:rPr>
        <w:t>намаляване</w:t>
      </w:r>
      <w:r>
        <w:rPr>
          <w:rFonts w:ascii="Times New Roman" w:hAnsi="Times New Roman" w:cs="Times New Roman"/>
          <w:color w:val="auto"/>
        </w:rPr>
        <w:t xml:space="preserve"> </w:t>
      </w:r>
      <w:r w:rsidRPr="00091769">
        <w:rPr>
          <w:rFonts w:ascii="Times New Roman" w:hAnsi="Times New Roman" w:cs="Times New Roman"/>
          <w:color w:val="auto"/>
          <w:lang w:val="ru-RU"/>
        </w:rPr>
        <w:t>на</w:t>
      </w:r>
      <w:r>
        <w:rPr>
          <w:rFonts w:ascii="Times New Roman" w:hAnsi="Times New Roman" w:cs="Times New Roman"/>
          <w:color w:val="auto"/>
        </w:rPr>
        <w:t xml:space="preserve"> </w:t>
      </w:r>
      <w:r w:rsidRPr="00091769">
        <w:rPr>
          <w:rFonts w:ascii="Times New Roman" w:hAnsi="Times New Roman" w:cs="Times New Roman"/>
          <w:color w:val="auto"/>
          <w:lang w:val="ru-RU"/>
        </w:rPr>
        <w:t>емисиите</w:t>
      </w:r>
      <w:r>
        <w:rPr>
          <w:rFonts w:ascii="Times New Roman" w:hAnsi="Times New Roman" w:cs="Times New Roman"/>
          <w:color w:val="auto"/>
        </w:rPr>
        <w:t xml:space="preserve"> </w:t>
      </w:r>
      <w:r w:rsidRPr="00091769">
        <w:rPr>
          <w:rFonts w:ascii="Times New Roman" w:hAnsi="Times New Roman" w:cs="Times New Roman"/>
          <w:color w:val="auto"/>
          <w:lang w:val="ru-RU"/>
        </w:rPr>
        <w:t>на</w:t>
      </w:r>
      <w:r>
        <w:rPr>
          <w:rFonts w:ascii="Times New Roman" w:hAnsi="Times New Roman" w:cs="Times New Roman"/>
          <w:color w:val="auto"/>
        </w:rPr>
        <w:t xml:space="preserve"> </w:t>
      </w:r>
      <w:r w:rsidRPr="00091769">
        <w:rPr>
          <w:rFonts w:ascii="Times New Roman" w:hAnsi="Times New Roman" w:cs="Times New Roman"/>
          <w:color w:val="auto"/>
          <w:lang w:val="ru-RU"/>
        </w:rPr>
        <w:t>парникови</w:t>
      </w:r>
      <w:r>
        <w:rPr>
          <w:rFonts w:ascii="Times New Roman" w:hAnsi="Times New Roman" w:cs="Times New Roman"/>
          <w:color w:val="auto"/>
        </w:rPr>
        <w:t xml:space="preserve"> </w:t>
      </w:r>
      <w:r w:rsidRPr="00091769">
        <w:rPr>
          <w:rFonts w:ascii="Times New Roman" w:hAnsi="Times New Roman" w:cs="Times New Roman"/>
          <w:color w:val="auto"/>
          <w:lang w:val="ru-RU"/>
        </w:rPr>
        <w:t>газове</w:t>
      </w:r>
      <w:r>
        <w:rPr>
          <w:rFonts w:ascii="Times New Roman" w:hAnsi="Times New Roman" w:cs="Times New Roman"/>
          <w:color w:val="auto"/>
        </w:rPr>
        <w:t xml:space="preserve"> </w:t>
      </w:r>
      <w:r w:rsidRPr="00091769">
        <w:rPr>
          <w:rFonts w:ascii="Times New Roman" w:hAnsi="Times New Roman" w:cs="Times New Roman"/>
          <w:color w:val="auto"/>
          <w:lang w:val="ru-RU"/>
        </w:rPr>
        <w:t>от</w:t>
      </w:r>
      <w:r>
        <w:rPr>
          <w:rFonts w:ascii="Times New Roman" w:hAnsi="Times New Roman" w:cs="Times New Roman"/>
          <w:color w:val="auto"/>
        </w:rPr>
        <w:t xml:space="preserve"> </w:t>
      </w:r>
      <w:r w:rsidRPr="00091769">
        <w:rPr>
          <w:rFonts w:ascii="Times New Roman" w:hAnsi="Times New Roman" w:cs="Times New Roman"/>
          <w:color w:val="auto"/>
          <w:lang w:val="ru-RU"/>
        </w:rPr>
        <w:t>тежкотоварните</w:t>
      </w:r>
      <w:r>
        <w:rPr>
          <w:rFonts w:ascii="Times New Roman" w:hAnsi="Times New Roman" w:cs="Times New Roman"/>
          <w:color w:val="auto"/>
        </w:rPr>
        <w:t xml:space="preserve"> </w:t>
      </w:r>
      <w:r w:rsidRPr="00091769">
        <w:rPr>
          <w:rFonts w:ascii="Times New Roman" w:hAnsi="Times New Roman" w:cs="Times New Roman"/>
          <w:color w:val="auto"/>
          <w:lang w:val="ru-RU"/>
        </w:rPr>
        <w:t>камиони с до 22% в сравнение с конвенционалния</w:t>
      </w:r>
      <w:r>
        <w:rPr>
          <w:rFonts w:ascii="Times New Roman" w:hAnsi="Times New Roman" w:cs="Times New Roman"/>
          <w:color w:val="auto"/>
        </w:rPr>
        <w:t xml:space="preserve"> </w:t>
      </w:r>
      <w:r w:rsidRPr="00091769">
        <w:rPr>
          <w:rFonts w:ascii="Times New Roman" w:hAnsi="Times New Roman" w:cs="Times New Roman"/>
          <w:color w:val="auto"/>
          <w:lang w:val="ru-RU"/>
        </w:rPr>
        <w:t>дизел</w:t>
      </w:r>
      <w:r>
        <w:rPr>
          <w:rFonts w:ascii="Times New Roman" w:hAnsi="Times New Roman" w:cs="Times New Roman"/>
          <w:color w:val="auto"/>
        </w:rPr>
        <w:t xml:space="preserve"> и вече редица технологични компании предлагат конкретни решения</w:t>
      </w:r>
      <w:r w:rsidRPr="00091769">
        <w:rPr>
          <w:rFonts w:ascii="Times New Roman" w:hAnsi="Times New Roman" w:cs="Times New Roman"/>
          <w:color w:val="auto"/>
          <w:lang w:val="ru-RU"/>
        </w:rPr>
        <w:t xml:space="preserve">. </w:t>
      </w:r>
      <w:r>
        <w:rPr>
          <w:rFonts w:ascii="Times New Roman" w:hAnsi="Times New Roman" w:cs="Times New Roman"/>
          <w:color w:val="auto"/>
        </w:rPr>
        <w:t xml:space="preserve">В тази връзка всички нови терминали на втечнен природен газ, включително и този в Александрополис трябва да бъдат съоръжени с терминал-станции специализирани за зареждане на ВПГ за тежки транспортни средства или за претоварването му. </w:t>
      </w:r>
      <w:r w:rsidRPr="008A6ECA">
        <w:rPr>
          <w:rFonts w:ascii="Times New Roman" w:hAnsi="Times New Roman" w:cs="Times New Roman"/>
          <w:color w:val="auto"/>
        </w:rPr>
        <w:t>Важно е</w:t>
      </w:r>
      <w:r>
        <w:rPr>
          <w:rFonts w:ascii="Times New Roman" w:hAnsi="Times New Roman" w:cs="Times New Roman"/>
          <w:color w:val="auto"/>
        </w:rPr>
        <w:t xml:space="preserve"> също така,</w:t>
      </w:r>
      <w:r w:rsidRPr="008A6ECA">
        <w:rPr>
          <w:rFonts w:ascii="Times New Roman" w:hAnsi="Times New Roman" w:cs="Times New Roman"/>
          <w:color w:val="auto"/>
        </w:rPr>
        <w:t xml:space="preserve"> да се</w:t>
      </w:r>
      <w:r>
        <w:rPr>
          <w:rFonts w:ascii="Times New Roman" w:hAnsi="Times New Roman" w:cs="Times New Roman"/>
          <w:color w:val="auto"/>
        </w:rPr>
        <w:t xml:space="preserve"> планират дейности </w:t>
      </w:r>
      <w:r w:rsidRPr="00091769">
        <w:rPr>
          <w:rFonts w:ascii="Times New Roman" w:hAnsi="Times New Roman" w:cs="Times New Roman"/>
          <w:color w:val="auto"/>
          <w:lang w:val="ru-RU"/>
        </w:rPr>
        <w:t>за</w:t>
      </w:r>
      <w:r>
        <w:rPr>
          <w:rFonts w:ascii="Times New Roman" w:hAnsi="Times New Roman" w:cs="Times New Roman"/>
          <w:color w:val="auto"/>
        </w:rPr>
        <w:t xml:space="preserve"> </w:t>
      </w:r>
      <w:r w:rsidRPr="00091769">
        <w:rPr>
          <w:rFonts w:ascii="Times New Roman" w:hAnsi="Times New Roman" w:cs="Times New Roman"/>
          <w:color w:val="auto"/>
          <w:lang w:val="ru-RU"/>
        </w:rPr>
        <w:t>постигане</w:t>
      </w:r>
      <w:r>
        <w:rPr>
          <w:rFonts w:ascii="Times New Roman" w:hAnsi="Times New Roman" w:cs="Times New Roman"/>
          <w:color w:val="auto"/>
        </w:rPr>
        <w:t xml:space="preserve"> </w:t>
      </w:r>
      <w:r w:rsidRPr="00091769">
        <w:rPr>
          <w:rFonts w:ascii="Times New Roman" w:hAnsi="Times New Roman" w:cs="Times New Roman"/>
          <w:color w:val="auto"/>
          <w:lang w:val="ru-RU"/>
        </w:rPr>
        <w:t>на</w:t>
      </w:r>
      <w:r>
        <w:rPr>
          <w:rFonts w:ascii="Times New Roman" w:hAnsi="Times New Roman" w:cs="Times New Roman"/>
          <w:color w:val="auto"/>
        </w:rPr>
        <w:t xml:space="preserve"> </w:t>
      </w:r>
      <w:r w:rsidRPr="008A6ECA">
        <w:rPr>
          <w:rFonts w:ascii="Times New Roman" w:hAnsi="Times New Roman" w:cs="Times New Roman"/>
          <w:color w:val="auto"/>
        </w:rPr>
        <w:t>пазарна реализация</w:t>
      </w:r>
      <w:r>
        <w:rPr>
          <w:rFonts w:ascii="Times New Roman" w:hAnsi="Times New Roman" w:cs="Times New Roman"/>
          <w:color w:val="auto"/>
        </w:rPr>
        <w:t xml:space="preserve"> </w:t>
      </w:r>
      <w:r w:rsidRPr="00091769">
        <w:rPr>
          <w:rFonts w:ascii="Times New Roman" w:hAnsi="Times New Roman" w:cs="Times New Roman"/>
          <w:color w:val="auto"/>
          <w:lang w:val="ru-RU"/>
        </w:rPr>
        <w:t>на</w:t>
      </w:r>
      <w:r>
        <w:rPr>
          <w:rFonts w:ascii="Times New Roman" w:hAnsi="Times New Roman" w:cs="Times New Roman"/>
          <w:color w:val="auto"/>
        </w:rPr>
        <w:t xml:space="preserve"> </w:t>
      </w:r>
      <w:r w:rsidRPr="00091769">
        <w:rPr>
          <w:rFonts w:ascii="Times New Roman" w:hAnsi="Times New Roman" w:cs="Times New Roman"/>
          <w:color w:val="auto"/>
          <w:lang w:val="ru-RU"/>
        </w:rPr>
        <w:t>веригата</w:t>
      </w:r>
      <w:r>
        <w:rPr>
          <w:rFonts w:ascii="Times New Roman" w:hAnsi="Times New Roman" w:cs="Times New Roman"/>
          <w:color w:val="auto"/>
        </w:rPr>
        <w:t xml:space="preserve"> </w:t>
      </w:r>
      <w:r w:rsidRPr="00091769">
        <w:rPr>
          <w:rFonts w:ascii="Times New Roman" w:hAnsi="Times New Roman" w:cs="Times New Roman"/>
          <w:color w:val="auto"/>
          <w:lang w:val="ru-RU"/>
        </w:rPr>
        <w:t>на</w:t>
      </w:r>
      <w:r>
        <w:rPr>
          <w:rFonts w:ascii="Times New Roman" w:hAnsi="Times New Roman" w:cs="Times New Roman"/>
          <w:color w:val="auto"/>
        </w:rPr>
        <w:t xml:space="preserve"> </w:t>
      </w:r>
      <w:r w:rsidRPr="00091769">
        <w:rPr>
          <w:rFonts w:ascii="Times New Roman" w:hAnsi="Times New Roman" w:cs="Times New Roman"/>
          <w:color w:val="auto"/>
          <w:lang w:val="ru-RU"/>
        </w:rPr>
        <w:t>доставки</w:t>
      </w:r>
      <w:r>
        <w:rPr>
          <w:rFonts w:ascii="Times New Roman" w:hAnsi="Times New Roman" w:cs="Times New Roman"/>
          <w:color w:val="auto"/>
        </w:rPr>
        <w:t xml:space="preserve"> </w:t>
      </w:r>
      <w:r w:rsidRPr="00091769">
        <w:rPr>
          <w:rFonts w:ascii="Times New Roman" w:hAnsi="Times New Roman" w:cs="Times New Roman"/>
          <w:color w:val="auto"/>
          <w:lang w:val="ru-RU"/>
        </w:rPr>
        <w:t>за</w:t>
      </w:r>
      <w:r>
        <w:rPr>
          <w:rFonts w:ascii="Times New Roman" w:hAnsi="Times New Roman" w:cs="Times New Roman"/>
          <w:color w:val="auto"/>
        </w:rPr>
        <w:t xml:space="preserve"> </w:t>
      </w:r>
      <w:r w:rsidRPr="00091769">
        <w:rPr>
          <w:rFonts w:ascii="Times New Roman" w:hAnsi="Times New Roman" w:cs="Times New Roman"/>
          <w:color w:val="auto"/>
          <w:lang w:val="ru-RU"/>
        </w:rPr>
        <w:t>био-ВПГ за</w:t>
      </w:r>
      <w:r>
        <w:rPr>
          <w:rFonts w:ascii="Times New Roman" w:hAnsi="Times New Roman" w:cs="Times New Roman"/>
          <w:color w:val="auto"/>
        </w:rPr>
        <w:t xml:space="preserve"> </w:t>
      </w:r>
      <w:r w:rsidRPr="00091769">
        <w:rPr>
          <w:rFonts w:ascii="Times New Roman" w:hAnsi="Times New Roman" w:cs="Times New Roman"/>
          <w:color w:val="auto"/>
          <w:lang w:val="ru-RU"/>
        </w:rPr>
        <w:t>допълнително</w:t>
      </w:r>
      <w:r>
        <w:rPr>
          <w:rFonts w:ascii="Times New Roman" w:hAnsi="Times New Roman" w:cs="Times New Roman"/>
          <w:color w:val="auto"/>
        </w:rPr>
        <w:t xml:space="preserve"> </w:t>
      </w:r>
      <w:r w:rsidRPr="00091769">
        <w:rPr>
          <w:rFonts w:ascii="Times New Roman" w:hAnsi="Times New Roman" w:cs="Times New Roman"/>
          <w:color w:val="auto"/>
          <w:lang w:val="ru-RU"/>
        </w:rPr>
        <w:t>намаляване</w:t>
      </w:r>
      <w:r>
        <w:rPr>
          <w:rFonts w:ascii="Times New Roman" w:hAnsi="Times New Roman" w:cs="Times New Roman"/>
          <w:color w:val="auto"/>
        </w:rPr>
        <w:t xml:space="preserve"> </w:t>
      </w:r>
      <w:r w:rsidRPr="00091769">
        <w:rPr>
          <w:rFonts w:ascii="Times New Roman" w:hAnsi="Times New Roman" w:cs="Times New Roman"/>
          <w:color w:val="auto"/>
          <w:lang w:val="ru-RU"/>
        </w:rPr>
        <w:t>на</w:t>
      </w:r>
      <w:r>
        <w:rPr>
          <w:rFonts w:ascii="Times New Roman" w:hAnsi="Times New Roman" w:cs="Times New Roman"/>
          <w:color w:val="auto"/>
        </w:rPr>
        <w:t xml:space="preserve"> </w:t>
      </w:r>
      <w:r w:rsidRPr="00091769">
        <w:rPr>
          <w:rFonts w:ascii="Times New Roman" w:hAnsi="Times New Roman" w:cs="Times New Roman"/>
          <w:color w:val="auto"/>
          <w:lang w:val="ru-RU"/>
        </w:rPr>
        <w:t>емисиите</w:t>
      </w:r>
      <w:r>
        <w:rPr>
          <w:rFonts w:ascii="Times New Roman" w:hAnsi="Times New Roman" w:cs="Times New Roman"/>
          <w:color w:val="auto"/>
        </w:rPr>
        <w:t xml:space="preserve"> </w:t>
      </w:r>
      <w:r w:rsidRPr="00091769">
        <w:rPr>
          <w:rFonts w:ascii="Times New Roman" w:hAnsi="Times New Roman" w:cs="Times New Roman"/>
          <w:color w:val="auto"/>
          <w:lang w:val="ru-RU"/>
        </w:rPr>
        <w:t>на</w:t>
      </w:r>
      <w:r>
        <w:rPr>
          <w:rFonts w:ascii="Times New Roman" w:hAnsi="Times New Roman" w:cs="Times New Roman"/>
          <w:color w:val="auto"/>
        </w:rPr>
        <w:t xml:space="preserve"> </w:t>
      </w:r>
      <w:r w:rsidRPr="00091769">
        <w:rPr>
          <w:rFonts w:ascii="Times New Roman" w:hAnsi="Times New Roman" w:cs="Times New Roman"/>
          <w:color w:val="auto"/>
          <w:lang w:val="ru-RU"/>
        </w:rPr>
        <w:t>парникови</w:t>
      </w:r>
      <w:r>
        <w:rPr>
          <w:rFonts w:ascii="Times New Roman" w:hAnsi="Times New Roman" w:cs="Times New Roman"/>
          <w:color w:val="auto"/>
        </w:rPr>
        <w:t xml:space="preserve"> </w:t>
      </w:r>
      <w:r w:rsidRPr="00091769">
        <w:rPr>
          <w:rFonts w:ascii="Times New Roman" w:hAnsi="Times New Roman" w:cs="Times New Roman"/>
          <w:color w:val="auto"/>
          <w:lang w:val="ru-RU"/>
        </w:rPr>
        <w:t>газове</w:t>
      </w:r>
      <w:r>
        <w:rPr>
          <w:rFonts w:ascii="Times New Roman" w:hAnsi="Times New Roman" w:cs="Times New Roman"/>
          <w:color w:val="auto"/>
        </w:rPr>
        <w:t xml:space="preserve"> от тежкотоварния транспорт</w:t>
      </w:r>
      <w:r w:rsidRPr="00091769">
        <w:rPr>
          <w:rFonts w:ascii="Times New Roman" w:hAnsi="Times New Roman" w:cs="Times New Roman"/>
          <w:color w:val="auto"/>
          <w:lang w:val="ru-RU"/>
        </w:rPr>
        <w:t>.</w:t>
      </w:r>
      <w:r>
        <w:rPr>
          <w:rFonts w:ascii="Times New Roman" w:hAnsi="Times New Roman" w:cs="Times New Roman"/>
          <w:color w:val="auto"/>
        </w:rPr>
        <w:t xml:space="preserve"> </w:t>
      </w:r>
    </w:p>
    <w:p w:rsidR="00173C23" w:rsidRPr="00E02C77" w:rsidRDefault="00173C23" w:rsidP="00CA0D96">
      <w:pPr>
        <w:pStyle w:val="Default"/>
        <w:spacing w:after="120"/>
        <w:ind w:firstLine="708"/>
        <w:rPr>
          <w:rFonts w:ascii="Times New Roman" w:hAnsi="Times New Roman" w:cs="Times New Roman"/>
          <w:b/>
          <w:color w:val="auto"/>
        </w:rPr>
      </w:pPr>
      <w:r w:rsidRPr="00E02C77">
        <w:rPr>
          <w:rFonts w:ascii="Times New Roman" w:hAnsi="Times New Roman" w:cs="Times New Roman"/>
          <w:b/>
          <w:color w:val="auto"/>
        </w:rPr>
        <w:t xml:space="preserve">2.2.2. </w:t>
      </w:r>
      <w:r w:rsidRPr="00E02C77">
        <w:rPr>
          <w:rFonts w:ascii="Times New Roman" w:hAnsi="Times New Roman" w:cs="Times New Roman"/>
          <w:b/>
        </w:rPr>
        <w:t>Горски сектор</w:t>
      </w:r>
    </w:p>
    <w:p w:rsidR="00173C23" w:rsidRDefault="00173C23" w:rsidP="00CA0D96">
      <w:pPr>
        <w:ind w:firstLine="708"/>
        <w:jc w:val="both"/>
        <w:rPr>
          <w:lang w:val="bg-BG"/>
        </w:rPr>
      </w:pPr>
      <w:r w:rsidRPr="008934D6">
        <w:rPr>
          <w:lang w:val="ru-RU"/>
        </w:rPr>
        <w:t>Като един от най-сериозните недостатъци на Плана е практическото отсъствие на анализ в дълбочина на възможностите за ползване и разширяване на ползването на горска биомаса за енергия</w:t>
      </w:r>
      <w:r>
        <w:rPr>
          <w:lang w:val="bg-BG"/>
        </w:rPr>
        <w:t>, както и убедителното определяне на поглъщащия капацитет на българските гори</w:t>
      </w:r>
      <w:r w:rsidRPr="008934D6">
        <w:rPr>
          <w:lang w:val="ru-RU"/>
        </w:rPr>
        <w:t xml:space="preserve">. От т.н. Национален план за ползване на горска биомаса (2018) става ясно, че с наличните данни за горите, няма как да се обосноват значими свободни количества биомаса за производство на енергия. </w:t>
      </w:r>
    </w:p>
    <w:p w:rsidR="00173C23" w:rsidRPr="008934D6" w:rsidRDefault="00173C23" w:rsidP="00CA0D96">
      <w:pPr>
        <w:ind w:firstLine="708"/>
        <w:jc w:val="both"/>
        <w:rPr>
          <w:lang w:val="ru-RU"/>
        </w:rPr>
      </w:pPr>
      <w:r w:rsidRPr="008934D6">
        <w:rPr>
          <w:lang w:val="ru-RU"/>
        </w:rPr>
        <w:t xml:space="preserve">Това се дължи на две причини: </w:t>
      </w:r>
    </w:p>
    <w:p w:rsidR="00173C23" w:rsidRPr="008934D6" w:rsidRDefault="00173C23" w:rsidP="00CA0D96">
      <w:pPr>
        <w:numPr>
          <w:ilvl w:val="0"/>
          <w:numId w:val="26"/>
        </w:numPr>
        <w:jc w:val="both"/>
        <w:rPr>
          <w:lang w:val="ru-RU"/>
        </w:rPr>
      </w:pPr>
      <w:r w:rsidRPr="008934D6">
        <w:rPr>
          <w:lang w:val="ru-RU"/>
        </w:rPr>
        <w:t>Неточност и подценяване на данните, които се ползват (вж. коментарите по-горе), и</w:t>
      </w:r>
    </w:p>
    <w:p w:rsidR="00173C23" w:rsidRPr="008934D6" w:rsidRDefault="00173C23" w:rsidP="00CA0D96">
      <w:pPr>
        <w:numPr>
          <w:ilvl w:val="0"/>
          <w:numId w:val="26"/>
        </w:numPr>
        <w:jc w:val="both"/>
        <w:rPr>
          <w:b/>
          <w:bCs/>
          <w:lang w:val="ru-RU"/>
        </w:rPr>
      </w:pPr>
      <w:r w:rsidRPr="008934D6">
        <w:rPr>
          <w:lang w:val="ru-RU"/>
        </w:rPr>
        <w:t xml:space="preserve">Напълно игнориране на възможностите за създаване на енергийни горски плантации върху трайно изоставени земеделски площи с добра продуктивност на площ от </w:t>
      </w:r>
      <w:r w:rsidRPr="008934D6">
        <w:rPr>
          <w:b/>
          <w:bCs/>
          <w:lang w:val="ru-RU"/>
        </w:rPr>
        <w:t>над 13 хиляди ха.</w:t>
      </w:r>
    </w:p>
    <w:p w:rsidR="00173C23" w:rsidRPr="008934D6" w:rsidRDefault="00173C23" w:rsidP="00BD66E7">
      <w:pPr>
        <w:ind w:firstLine="708"/>
        <w:jc w:val="both"/>
        <w:rPr>
          <w:lang w:val="ru-RU"/>
        </w:rPr>
      </w:pPr>
      <w:r w:rsidRPr="008934D6">
        <w:rPr>
          <w:lang w:val="ru-RU"/>
        </w:rPr>
        <w:t xml:space="preserve">Подходящи за горски плантации от иглолистни гори са земеделски земи, по-добри от 7-ма категория (категория 1 – най-плодородна; категория 10 – най-слабо плодородна). Данните за необработваеми земеделски земи по области от 1-ва до 6-та категория към края на 2019 г а, с които експертите разполагат показват наличието на повече от </w:t>
      </w:r>
      <w:r w:rsidRPr="008934D6">
        <w:rPr>
          <w:b/>
          <w:bCs/>
          <w:lang w:val="ru-RU"/>
        </w:rPr>
        <w:t>13 хиляди хектара</w:t>
      </w:r>
      <w:r w:rsidRPr="008934D6">
        <w:rPr>
          <w:lang w:val="ru-RU"/>
        </w:rPr>
        <w:t xml:space="preserve"> такива площи в България. Законът за земеделските земи, обаче е силно рестри</w:t>
      </w:r>
      <w:r>
        <w:rPr>
          <w:lang w:val="bg-BG"/>
        </w:rPr>
        <w:t>к</w:t>
      </w:r>
      <w:r w:rsidRPr="008934D6">
        <w:rPr>
          <w:lang w:val="ru-RU"/>
        </w:rPr>
        <w:t>тивен за предоставянето им за цели, различни от производство на храни. Според този закон срокът за наем на ДПФ е максимално до 10 години. За трайни насаждения е съответно за срока на плододаване на трайните насаждения. Няма определение за трайните насаждения, за които могат да се предоставят имоти от ДПФ в Закона за собствеността и ползването на земеделските земи, но се ползва Наредбата за базисни цени на трайните насаждения, в която се изброени трайни насаждения само със селскостопанско предназначение (овощни, лозя, лавандула, люцерна и др.).</w:t>
      </w:r>
    </w:p>
    <w:p w:rsidR="00173C23" w:rsidRPr="008934D6" w:rsidRDefault="00173C23" w:rsidP="00CA0D96">
      <w:pPr>
        <w:ind w:firstLine="708"/>
        <w:jc w:val="both"/>
        <w:rPr>
          <w:lang w:val="ru-RU"/>
        </w:rPr>
      </w:pPr>
      <w:r w:rsidRPr="008934D6">
        <w:rPr>
          <w:lang w:val="ru-RU"/>
        </w:rPr>
        <w:t xml:space="preserve">За т.н. трайно изоставени земеделски земи, включително и табаните в района на мини Марица-изток,които са над </w:t>
      </w:r>
      <w:r w:rsidRPr="008934D6">
        <w:rPr>
          <w:b/>
          <w:bCs/>
          <w:lang w:val="ru-RU"/>
        </w:rPr>
        <w:t>9 хиляди хектара</w:t>
      </w:r>
      <w:r w:rsidRPr="008934D6">
        <w:rPr>
          <w:lang w:val="ru-RU"/>
        </w:rPr>
        <w:t>, няма дефиниция в закона. Има разпоредба, че трайно неизползвани две и повече години земеделски земи от ДПФ, както и маломерни земи (до 10 дка) могат да се предоставят без търг или конкурс. Разпоредбата не се прилага, поради вероятност от получаване на нерегламентирана държавна помощ – имотите от ДПФ се предоставят само чрез търг, с изключение на пасища, мери и ливади, които се разпределят без търг, при това само на животновъди.</w:t>
      </w:r>
    </w:p>
    <w:p w:rsidR="00173C23" w:rsidRPr="008934D6" w:rsidRDefault="00173C23" w:rsidP="00CA0D96">
      <w:pPr>
        <w:ind w:firstLine="708"/>
        <w:jc w:val="both"/>
        <w:rPr>
          <w:lang w:val="ru-RU"/>
        </w:rPr>
      </w:pPr>
      <w:r w:rsidRPr="008934D6">
        <w:rPr>
          <w:lang w:val="ru-RU"/>
        </w:rPr>
        <w:t xml:space="preserve">Възможно е плантациите да бъдат част </w:t>
      </w:r>
      <w:r w:rsidRPr="008934D6">
        <w:rPr>
          <w:b/>
          <w:bCs/>
          <w:lang w:val="ru-RU"/>
        </w:rPr>
        <w:t xml:space="preserve">от агролесовъдски системи за смесено и по-ефективно използване на трайно изоставени земеделски земи в райони с ниска лесистост </w:t>
      </w:r>
      <w:r w:rsidRPr="008934D6">
        <w:rPr>
          <w:lang w:val="ru-RU"/>
        </w:rPr>
        <w:t>въпреки, че производствения опит в тази посока в страната е малък.</w:t>
      </w:r>
    </w:p>
    <w:p w:rsidR="00173C23" w:rsidRPr="008934D6" w:rsidRDefault="00173C23" w:rsidP="00CA0D96">
      <w:pPr>
        <w:ind w:firstLine="708"/>
        <w:jc w:val="both"/>
        <w:rPr>
          <w:b/>
          <w:bCs/>
          <w:lang w:val="ru-RU"/>
        </w:rPr>
      </w:pPr>
      <w:r w:rsidRPr="008934D6">
        <w:rPr>
          <w:b/>
          <w:bCs/>
          <w:lang w:val="ru-RU"/>
        </w:rPr>
        <w:t xml:space="preserve">В заключение България </w:t>
      </w:r>
      <w:r>
        <w:rPr>
          <w:b/>
          <w:bCs/>
          <w:lang w:val="bg-BG"/>
        </w:rPr>
        <w:t xml:space="preserve">може да </w:t>
      </w:r>
      <w:r w:rsidRPr="008934D6">
        <w:rPr>
          <w:b/>
          <w:bCs/>
          <w:lang w:val="ru-RU"/>
        </w:rPr>
        <w:t>разполага с</w:t>
      </w:r>
      <w:r>
        <w:rPr>
          <w:b/>
          <w:bCs/>
          <w:lang w:val="bg-BG"/>
        </w:rPr>
        <w:t>ъс значително</w:t>
      </w:r>
      <w:r w:rsidRPr="008934D6">
        <w:rPr>
          <w:b/>
          <w:bCs/>
          <w:lang w:val="ru-RU"/>
        </w:rPr>
        <w:t xml:space="preserve"> </w:t>
      </w:r>
      <w:r>
        <w:rPr>
          <w:b/>
          <w:bCs/>
          <w:lang w:val="bg-BG"/>
        </w:rPr>
        <w:t xml:space="preserve">повече </w:t>
      </w:r>
      <w:r w:rsidRPr="008934D6">
        <w:rPr>
          <w:b/>
          <w:bCs/>
          <w:lang w:val="ru-RU"/>
        </w:rPr>
        <w:t>възможности за произво</w:t>
      </w:r>
      <w:r>
        <w:rPr>
          <w:b/>
          <w:bCs/>
          <w:lang w:val="bg-BG"/>
        </w:rPr>
        <w:t>д</w:t>
      </w:r>
      <w:r w:rsidRPr="008934D6">
        <w:rPr>
          <w:b/>
          <w:bCs/>
          <w:lang w:val="ru-RU"/>
        </w:rPr>
        <w:t xml:space="preserve">ство на енергия от горска биомаса, </w:t>
      </w:r>
      <w:r w:rsidRPr="008934D6">
        <w:rPr>
          <w:lang w:val="ru-RU"/>
        </w:rPr>
        <w:t>при положение че за целта се използват някои от трайно изоставените земеделски площи както и значителните площи табани от открития добив на въглища в комплексите Марица Изток и Бобов дол с обща площ над 22</w:t>
      </w:r>
      <w:r>
        <w:t> </w:t>
      </w:r>
      <w:r w:rsidRPr="008934D6">
        <w:rPr>
          <w:lang w:val="ru-RU"/>
        </w:rPr>
        <w:t>000 дка</w:t>
      </w:r>
      <w:r w:rsidRPr="008934D6">
        <w:rPr>
          <w:b/>
          <w:bCs/>
          <w:lang w:val="ru-RU"/>
        </w:rPr>
        <w:t xml:space="preserve">. </w:t>
      </w:r>
    </w:p>
    <w:p w:rsidR="00173C23" w:rsidRDefault="00173C23" w:rsidP="00BD66E7">
      <w:pPr>
        <w:jc w:val="both"/>
        <w:rPr>
          <w:lang w:val="bg-BG"/>
        </w:rPr>
      </w:pPr>
      <w:r w:rsidRPr="008934D6">
        <w:rPr>
          <w:lang w:val="ru-RU"/>
        </w:rPr>
        <w:t xml:space="preserve">Последното изисква промени в Закона за земеделските земи. </w:t>
      </w:r>
    </w:p>
    <w:p w:rsidR="00173C23" w:rsidRPr="000E657A" w:rsidRDefault="00173C23" w:rsidP="00BD66E7">
      <w:pPr>
        <w:jc w:val="both"/>
        <w:rPr>
          <w:sz w:val="16"/>
          <w:szCs w:val="16"/>
          <w:lang w:val="bg-BG"/>
        </w:rPr>
      </w:pPr>
    </w:p>
    <w:p w:rsidR="00173C23" w:rsidRPr="00E02C77" w:rsidRDefault="00173C23" w:rsidP="00CA0D96">
      <w:pPr>
        <w:pStyle w:val="Default"/>
        <w:spacing w:after="120"/>
        <w:ind w:firstLine="720"/>
        <w:rPr>
          <w:rFonts w:ascii="Times New Roman" w:hAnsi="Times New Roman" w:cs="Times New Roman"/>
          <w:b/>
          <w:color w:val="auto"/>
          <w:lang w:val="ru-RU"/>
        </w:rPr>
      </w:pPr>
      <w:r w:rsidRPr="00E02C77">
        <w:rPr>
          <w:rFonts w:ascii="Times New Roman" w:hAnsi="Times New Roman" w:cs="Times New Roman"/>
          <w:b/>
          <w:color w:val="auto"/>
        </w:rPr>
        <w:t xml:space="preserve">2.2.3. Отпадъци </w:t>
      </w:r>
    </w:p>
    <w:p w:rsidR="00173C23" w:rsidRPr="008934D6" w:rsidRDefault="00173C23" w:rsidP="00CA0D96">
      <w:pPr>
        <w:ind w:firstLine="720"/>
        <w:jc w:val="both"/>
        <w:rPr>
          <w:lang w:val="ru-RU"/>
        </w:rPr>
      </w:pPr>
      <w:r w:rsidRPr="008934D6">
        <w:rPr>
          <w:lang w:val="ru-RU"/>
        </w:rPr>
        <w:t xml:space="preserve">Статистическите данни за България показват средно количество на отпадъци  около 3,5 милиона тона, а тази тема е засегната повърхностно в Плана. Тази тема има отношение както към екологията, така и към енергетиката. Европейската директива за свеждане на количеството депониран отпадък до 10% след рециклиране на 65% от него, показва разлика от минимум 25%, за които в Плана не са споменати възможните решения за енергийно оползотворяване на тази част от отпадъците и/или за строителни материали. Към краткия текст по темата (стр.23) е упоменато генерирането на парникови газове от депониране на отпадъци, третиране на отпадни води и изгаряне на отпадъци. Казано е, че мерките са съсредоточени основно в подсектора „Депониране на отпадъци” без да е ясно в какво се изразяват тези мерки. Необходимо е  в такъв План да се обхванат всички видове отпадъци, като се определят техните прогнозни количество и планираните политики и мерки за тяхното минимизиране и оползотворяване. </w:t>
      </w:r>
    </w:p>
    <w:p w:rsidR="00173C23" w:rsidRPr="008934D6" w:rsidRDefault="00173C23" w:rsidP="00CA0D96">
      <w:pPr>
        <w:ind w:firstLine="720"/>
        <w:jc w:val="both"/>
        <w:rPr>
          <w:lang w:val="ru-RU"/>
        </w:rPr>
      </w:pPr>
      <w:r w:rsidRPr="008934D6">
        <w:rPr>
          <w:lang w:val="ru-RU"/>
        </w:rPr>
        <w:t>Важно е, с</w:t>
      </w:r>
      <w:r>
        <w:rPr>
          <w:lang w:val="bg-BG"/>
        </w:rPr>
        <w:t>ъ</w:t>
      </w:r>
      <w:r w:rsidRPr="008934D6">
        <w:rPr>
          <w:lang w:val="ru-RU"/>
        </w:rPr>
        <w:t xml:space="preserve">що така в Плана да се упомене, че е необходима и подготвителна работа преди отпадъкът да се конвертира в енергия, като се предприемат мерки за усъвършенстване на нормативната регулаторна уредба, както и подобряване на </w:t>
      </w:r>
      <w:r w:rsidRPr="008934D6">
        <w:rPr>
          <w:lang w:val="ru-RU"/>
        </w:rPr>
        <w:tab/>
        <w:t xml:space="preserve">системата за неговото измерване, събиране, разделяне, класифициране, транспорт и съхраняване. Когато всички системи работят правилно ще бъде възможно да се прогнозира и управлява целият национален ресурс от всякакъв отпадък както в екологично, така и в енергийно отношение. </w:t>
      </w:r>
    </w:p>
    <w:p w:rsidR="00173C23" w:rsidRPr="008934D6" w:rsidRDefault="00173C23" w:rsidP="00CA0D96">
      <w:pPr>
        <w:ind w:firstLine="720"/>
        <w:jc w:val="both"/>
        <w:rPr>
          <w:lang w:val="ru-RU"/>
        </w:rPr>
      </w:pPr>
      <w:r w:rsidRPr="008934D6">
        <w:rPr>
          <w:lang w:val="ru-RU"/>
        </w:rPr>
        <w:t xml:space="preserve">За енергийното оползотворяване днес в света се предлагат по-екологични технологии от изгарянето, например – газификация в отсъствие на въздух, а по-този начин и без отделяне на димни газове с фини прахови частици, азотни и серни окиси и др. вредни вещества в атмосферата. Към отпадъците е важно да се прибавят и остатъчната биомаса от горски и земеделски сектори, които са голям по обем източник на възобновяема енергия, която може да се генерира в локални инсталации за газификация и да задоволява локални общински енергийни нужди. </w:t>
      </w:r>
    </w:p>
    <w:p w:rsidR="00173C23" w:rsidRPr="008934D6" w:rsidRDefault="00173C23" w:rsidP="00CA0D96">
      <w:pPr>
        <w:ind w:firstLine="720"/>
        <w:jc w:val="both"/>
        <w:rPr>
          <w:lang w:val="ru-RU"/>
        </w:rPr>
      </w:pPr>
      <w:r w:rsidRPr="008934D6">
        <w:rPr>
          <w:lang w:val="ru-RU"/>
        </w:rPr>
        <w:t xml:space="preserve">Въвеждането на по-чисти екологично технологии се развива активно в света, но е иновативно и затова е по-слабо разпространено. Това от своя страна изисква  да се заложи цел в научно-изследователското направление за валидиране на такива нови технологии и реализиране на пилотни проекти преди тяхното масово приложение. </w:t>
      </w:r>
    </w:p>
    <w:p w:rsidR="00173C23" w:rsidRPr="008934D6" w:rsidRDefault="00173C23" w:rsidP="00CA0D96">
      <w:pPr>
        <w:ind w:firstLine="720"/>
        <w:jc w:val="both"/>
        <w:rPr>
          <w:lang w:val="ru-RU"/>
        </w:rPr>
      </w:pPr>
      <w:r w:rsidRPr="008934D6">
        <w:rPr>
          <w:lang w:val="ru-RU"/>
        </w:rPr>
        <w:t>Необходимо е да се разработи и приложи Национална стратегия за енергийно оползотворяване на отпадъците по технологии с минимални емисии към атмосферата и водите. Такива са термичното третиране, различно от изгарянето, с производство на синтезен газ като чист енергоносител.  Това количество  по експертни оценки за България е  около 800</w:t>
      </w:r>
      <w:r w:rsidRPr="00A914AC">
        <w:t> </w:t>
      </w:r>
      <w:r w:rsidRPr="008934D6">
        <w:rPr>
          <w:lang w:val="ru-RU"/>
        </w:rPr>
        <w:t xml:space="preserve">000 тона на година, като националния енергиен потенциал се оценява на около 12,8 </w:t>
      </w:r>
      <w:r>
        <w:rPr>
          <w:lang w:val="bg-BG"/>
        </w:rPr>
        <w:t>ГВтч</w:t>
      </w:r>
      <w:r w:rsidRPr="008934D6">
        <w:rPr>
          <w:lang w:val="ru-RU"/>
        </w:rPr>
        <w:t xml:space="preserve"> възобновяема енергия годишно. Оползотворяването на това количество в енергия е по модела на разпределеното производство чрез изглаждане на  голям брой малки или средни по мощност регионални и общински инсталации за производство на синтезен газ, а оттам и на комбинирано производство на електроенергия и топлинна енергия. Предимството на това решение е възможността тези инсталации да бъдат вид енергийни кооперативи, разположени в регионални центрове с минимално транспортиране на отпадък и задоволяване на местни енергийни потребности.</w:t>
      </w:r>
    </w:p>
    <w:p w:rsidR="00173C23" w:rsidRPr="008934D6" w:rsidRDefault="00173C23" w:rsidP="000E657A">
      <w:pPr>
        <w:ind w:firstLine="720"/>
        <w:jc w:val="both"/>
        <w:rPr>
          <w:lang w:val="ru-RU"/>
        </w:rPr>
      </w:pPr>
      <w:r w:rsidRPr="008934D6">
        <w:rPr>
          <w:lang w:val="ru-RU"/>
        </w:rPr>
        <w:t xml:space="preserve">Същият подход може да се реализира по отношение на всички други видове отпадък, който причинява парникови газове (ПГ) – аграрен, утайки от ПСОВ, индустриален, животински и др. съдържащи въглеводороди. Количеството им в национален план е многократно по-голямо. Енергийният потенциал може да бъде над  50 </w:t>
      </w:r>
      <w:r>
        <w:rPr>
          <w:lang w:val="bg-BG"/>
        </w:rPr>
        <w:t>ГВтч</w:t>
      </w:r>
      <w:r w:rsidRPr="008934D6">
        <w:rPr>
          <w:lang w:val="ru-RU"/>
        </w:rPr>
        <w:t>.</w:t>
      </w:r>
    </w:p>
    <w:p w:rsidR="00173C23" w:rsidRDefault="00173C23" w:rsidP="000E657A">
      <w:pPr>
        <w:ind w:firstLine="720"/>
        <w:jc w:val="both"/>
        <w:rPr>
          <w:lang w:val="bg-BG"/>
        </w:rPr>
      </w:pPr>
      <w:r w:rsidRPr="008934D6">
        <w:rPr>
          <w:lang w:val="ru-RU"/>
        </w:rPr>
        <w:t>Изброените видове отпадък са възобновяем източник на енергия с устойчиво предвидимо количество. Необходими са промени в нормативната уредба, регламентиращи адекватно технологиите и стимулиращи внедряването им. Целите, които ще се постигнат, са в две важни посоки – енергийна автономност с намаляване на вноса на енергоносители и екологична с минимизиране на депонирането.</w:t>
      </w:r>
    </w:p>
    <w:p w:rsidR="00173C23" w:rsidRPr="00691F25" w:rsidRDefault="00173C23" w:rsidP="00BD66E7">
      <w:pPr>
        <w:jc w:val="both"/>
        <w:rPr>
          <w:lang w:val="bg-BG"/>
        </w:rPr>
      </w:pPr>
    </w:p>
    <w:p w:rsidR="00173C23" w:rsidRPr="00731777" w:rsidRDefault="00173C23" w:rsidP="000A6439">
      <w:pPr>
        <w:pStyle w:val="Default"/>
        <w:numPr>
          <w:ilvl w:val="0"/>
          <w:numId w:val="22"/>
        </w:numPr>
        <w:spacing w:after="120"/>
        <w:rPr>
          <w:rFonts w:ascii="Times New Roman" w:hAnsi="Times New Roman" w:cs="Times New Roman"/>
          <w:b/>
          <w:bCs/>
          <w:color w:val="auto"/>
          <w:sz w:val="28"/>
          <w:szCs w:val="28"/>
          <w:lang w:eastAsia="bg-BG"/>
        </w:rPr>
      </w:pPr>
      <w:r w:rsidRPr="00731777">
        <w:rPr>
          <w:rFonts w:ascii="Times New Roman" w:hAnsi="Times New Roman" w:cs="Times New Roman"/>
          <w:b/>
          <w:bCs/>
          <w:color w:val="auto"/>
          <w:sz w:val="28"/>
          <w:szCs w:val="28"/>
          <w:lang w:eastAsia="bg-BG"/>
        </w:rPr>
        <w:t>Измерение„ Енергийна ефективност“</w:t>
      </w:r>
    </w:p>
    <w:p w:rsidR="00173C23" w:rsidRPr="00691F25" w:rsidRDefault="00173C23" w:rsidP="00BD66E7">
      <w:pPr>
        <w:pStyle w:val="Default"/>
        <w:numPr>
          <w:ilvl w:val="1"/>
          <w:numId w:val="22"/>
        </w:numPr>
        <w:spacing w:after="120"/>
        <w:rPr>
          <w:rFonts w:ascii="Times New Roman" w:hAnsi="Times New Roman" w:cs="Times New Roman"/>
          <w:b/>
          <w:color w:val="auto"/>
          <w:lang w:eastAsia="bg-BG"/>
        </w:rPr>
      </w:pPr>
      <w:r w:rsidRPr="00691F25">
        <w:rPr>
          <w:rFonts w:ascii="Times New Roman" w:hAnsi="Times New Roman" w:cs="Times New Roman"/>
          <w:b/>
          <w:color w:val="auto"/>
          <w:lang w:eastAsia="bg-BG"/>
        </w:rPr>
        <w:t>Амбиция и цели</w:t>
      </w:r>
    </w:p>
    <w:p w:rsidR="00173C23" w:rsidRPr="008934D6" w:rsidRDefault="00173C23" w:rsidP="000E657A">
      <w:pPr>
        <w:spacing w:after="120"/>
        <w:ind w:firstLine="720"/>
        <w:jc w:val="both"/>
        <w:rPr>
          <w:lang w:val="ru-RU"/>
        </w:rPr>
      </w:pPr>
      <w:r w:rsidRPr="008934D6">
        <w:rPr>
          <w:lang w:val="ru-RU"/>
        </w:rPr>
        <w:t xml:space="preserve">Декларираните спестявания като процент от потреблението на първична и крайна енергия спрямо модел </w:t>
      </w:r>
      <w:r w:rsidRPr="008A6ECA">
        <w:t>PRIMES</w:t>
      </w:r>
      <w:r w:rsidRPr="00091769">
        <w:rPr>
          <w:lang w:val="ru-RU"/>
        </w:rPr>
        <w:t xml:space="preserve"> 2007 </w:t>
      </w:r>
      <w:r w:rsidRPr="008934D6">
        <w:rPr>
          <w:lang w:val="ru-RU"/>
        </w:rPr>
        <w:t xml:space="preserve">не могат да бъдат оценени, тъй като този модел не е представен нито тук, нито в предходните енергийни стратегии и планове за действие за енергийна ефективност. Към момента можем единствено да констатираме, че към 2030 г. се прогнозира потреблението на крайна енергия да се увеличи, въпреки поставената цел за кумулативни спестявания за периода 2021-2030 г. от 4357.55 </w:t>
      </w:r>
      <w:r w:rsidRPr="008A6ECA">
        <w:t>ktoe</w:t>
      </w:r>
      <w:r w:rsidRPr="008934D6">
        <w:rPr>
          <w:lang w:val="ru-RU"/>
        </w:rPr>
        <w:t xml:space="preserve">. Тази прогноза също не може да се оцени, тъй като сценариите </w:t>
      </w:r>
      <w:r w:rsidRPr="008A6ECA">
        <w:t>WEM</w:t>
      </w:r>
      <w:r w:rsidRPr="00091769">
        <w:rPr>
          <w:lang w:val="ru-RU"/>
        </w:rPr>
        <w:t xml:space="preserve"> </w:t>
      </w:r>
      <w:r w:rsidRPr="008934D6">
        <w:rPr>
          <w:lang w:val="ru-RU"/>
        </w:rPr>
        <w:t xml:space="preserve">и </w:t>
      </w:r>
      <w:r w:rsidRPr="008A6ECA">
        <w:t>WAM</w:t>
      </w:r>
      <w:r w:rsidRPr="00091769">
        <w:rPr>
          <w:lang w:val="ru-RU"/>
        </w:rPr>
        <w:t xml:space="preserve"> </w:t>
      </w:r>
      <w:r w:rsidRPr="008934D6">
        <w:rPr>
          <w:lang w:val="ru-RU"/>
        </w:rPr>
        <w:t>не са достъпни. Планът не показва на база на какъв потенциал – технически, икономически и т.н. - ще се постигнат представените цели.</w:t>
      </w:r>
    </w:p>
    <w:p w:rsidR="00173C23" w:rsidRPr="008934D6" w:rsidRDefault="00173C23" w:rsidP="000E657A">
      <w:pPr>
        <w:spacing w:after="120"/>
        <w:ind w:firstLine="720"/>
        <w:jc w:val="both"/>
        <w:rPr>
          <w:lang w:val="ru-RU"/>
        </w:rPr>
      </w:pPr>
      <w:r w:rsidRPr="008934D6">
        <w:rPr>
          <w:lang w:val="ru-RU"/>
        </w:rPr>
        <w:t xml:space="preserve">В резюмето на Плана се залагат сериозни амбиции, които обаче за съжаление не са подкрепени при представянето на целите, мерките, финансовата рамка, инвестиционните нужди и отговорността на институциите. Твърди се, </w:t>
      </w:r>
      <w:r w:rsidRPr="008934D6">
        <w:rPr>
          <w:i/>
          <w:iCs/>
          <w:lang w:val="ru-RU"/>
        </w:rPr>
        <w:t xml:space="preserve">че „България поставя енергийната ефективност на първо място“ </w:t>
      </w:r>
      <w:r w:rsidRPr="008934D6">
        <w:rPr>
          <w:lang w:val="ru-RU"/>
        </w:rPr>
        <w:t>(стр. 18), „</w:t>
      </w:r>
      <w:r w:rsidRPr="008934D6">
        <w:rPr>
          <w:i/>
          <w:iCs/>
          <w:lang w:val="ru-RU"/>
        </w:rPr>
        <w:t>България поставя акцент върху алтернативните политики и мерки за насърчаване на енергийната ефективност. Такива мерки включват… обновяването на съществуващия сграден фонд, с оглед увеличаване на броя на сградите с близко до нулево потребление на енергия.“</w:t>
      </w:r>
      <w:r w:rsidRPr="008934D6">
        <w:rPr>
          <w:lang w:val="ru-RU"/>
        </w:rPr>
        <w:t xml:space="preserve"> (с. 18-19), като </w:t>
      </w:r>
      <w:r w:rsidRPr="008934D6">
        <w:rPr>
          <w:i/>
          <w:iCs/>
          <w:lang w:val="ru-RU"/>
        </w:rPr>
        <w:t>„За всяка мярка са посочени целевите групи, отговорните институции за докладване на изпълнението й, стартирането и срокът за изпълнение, както и необходимият финансов ресурс и източниците за финансиране. Заложен е индикатор за изпълнение, който директно или индиректно е свързан с изчисляването на очаквания ефект, както и целеви стойности по години. Представена е допълнителна информация за мярката, която посочва в кой нормативен акт или стратегически документ е залегнала тя, какви предвиждания са използвани при изчисление на намалението на емисии, каква е връзката между мярката, инструментите, отговорните институции и т.н.“ (</w:t>
      </w:r>
      <w:r w:rsidRPr="008934D6">
        <w:rPr>
          <w:lang w:val="ru-RU"/>
        </w:rPr>
        <w:t xml:space="preserve">стр. 22). </w:t>
      </w:r>
    </w:p>
    <w:p w:rsidR="00173C23" w:rsidRPr="008934D6" w:rsidRDefault="00173C23" w:rsidP="000E657A">
      <w:pPr>
        <w:spacing w:after="120"/>
        <w:ind w:firstLine="720"/>
        <w:jc w:val="both"/>
        <w:rPr>
          <w:lang w:val="ru-RU"/>
        </w:rPr>
      </w:pPr>
      <w:r w:rsidRPr="008934D6">
        <w:rPr>
          <w:lang w:val="ru-RU"/>
        </w:rPr>
        <w:t xml:space="preserve">Въпреки тези декларативни намерения, редица пропуски поставят под съмнение изпълнението на тези цели, като например: </w:t>
      </w:r>
    </w:p>
    <w:p w:rsidR="00173C23" w:rsidRPr="008934D6" w:rsidRDefault="00173C23" w:rsidP="000A6439">
      <w:pPr>
        <w:pStyle w:val="ListParagraph"/>
        <w:numPr>
          <w:ilvl w:val="0"/>
          <w:numId w:val="20"/>
        </w:numPr>
        <w:spacing w:after="120" w:line="256" w:lineRule="auto"/>
        <w:contextualSpacing w:val="0"/>
        <w:jc w:val="both"/>
        <w:rPr>
          <w:lang w:val="ru-RU"/>
        </w:rPr>
      </w:pPr>
      <w:r w:rsidRPr="008934D6">
        <w:rPr>
          <w:lang w:val="ru-RU"/>
        </w:rPr>
        <w:t xml:space="preserve">При описанието на приоритетните мерки в сградния фонд на стр. 75 не се споменава значимостта на мерките по сградната обвивка, което е в противоречие на принципа  „енергийната ефективност на първо място“ и обезличава ефекта от доказано разходно-ефективни мерки за сметка на мерки при сградните инсталации и замяната на горивната база. Тези мерки, въпреки че са необходими, следва да се анализират единствено и само съотнесени с оптималното намаляване на енергийното потребление в тези сгради. </w:t>
      </w:r>
    </w:p>
    <w:p w:rsidR="00173C23" w:rsidRPr="008934D6" w:rsidRDefault="00173C23" w:rsidP="000A6439">
      <w:pPr>
        <w:pStyle w:val="ListParagraph"/>
        <w:numPr>
          <w:ilvl w:val="0"/>
          <w:numId w:val="20"/>
        </w:numPr>
        <w:ind w:left="714" w:hanging="357"/>
        <w:contextualSpacing w:val="0"/>
        <w:jc w:val="both"/>
        <w:rPr>
          <w:lang w:val="ru-RU"/>
        </w:rPr>
      </w:pPr>
      <w:r w:rsidRPr="008934D6">
        <w:rPr>
          <w:lang w:val="ru-RU"/>
        </w:rPr>
        <w:t xml:space="preserve">Обновяването на съществуващия сграден фонд, макар и изчерпателно застъпено в Плана, не показва как ще допринесе за „увеличаване на броя на сградите с близко до нулево потребление на енергия“. По-подробният анализ на предоставените данни показва, че целите, заложени за жилищните сгради, предполагат значителен обхват на политиките и високи специфични спестявания, което е положителен елемент от стратегията (без обаче да е обвързано с постигане на конкретен клас на енергийна ефективност при обновяване). За сметка на това, целите за нежилищните сгради са доста скромни като обхват. </w:t>
      </w:r>
    </w:p>
    <w:p w:rsidR="00173C23" w:rsidRPr="008934D6" w:rsidRDefault="00173C23" w:rsidP="000A6439">
      <w:pPr>
        <w:pStyle w:val="ListParagraph"/>
        <w:numPr>
          <w:ilvl w:val="0"/>
          <w:numId w:val="20"/>
        </w:numPr>
        <w:ind w:left="714" w:hanging="357"/>
        <w:contextualSpacing w:val="0"/>
        <w:jc w:val="both"/>
        <w:rPr>
          <w:lang w:val="ru-RU"/>
        </w:rPr>
      </w:pPr>
      <w:r w:rsidRPr="008934D6">
        <w:rPr>
          <w:lang w:val="ru-RU"/>
        </w:rPr>
        <w:t>Въпреки конкретните количествени цели за обновяване на сградния фонд, описаните мерки в измерение „Енергийна ефективност” не посочват крайно важните три параметъра:</w:t>
      </w:r>
      <w:r w:rsidRPr="008934D6">
        <w:rPr>
          <w:i/>
          <w:iCs/>
          <w:lang w:val="ru-RU"/>
        </w:rPr>
        <w:t xml:space="preserve"> финансов ресурс, времева рамка и отговорник за изпълнението им</w:t>
      </w:r>
      <w:r w:rsidRPr="008934D6">
        <w:rPr>
          <w:lang w:val="ru-RU"/>
        </w:rPr>
        <w:t xml:space="preserve">. Мимоходом е споменато, че настоящите политики и програми за финансиране (вкл. НПЕЕМЖС) ще бъдат продължени след 2021 г., но без упоменаване на обхват и финансов ресурс. Не е ясно дали този ресурс ще бъде генериран чрез бегло описания национален механизъм за финансиране на енергийна ефективност. Особено впечатление прави остойностяването на инвестиционните нужди </w:t>
      </w:r>
      <w:r w:rsidRPr="008934D6">
        <w:rPr>
          <w:i/>
          <w:iCs/>
          <w:lang w:val="ru-RU"/>
        </w:rPr>
        <w:t>(секция 5.3 Преглед на нуждите от инвестиции)</w:t>
      </w:r>
      <w:r w:rsidRPr="008934D6">
        <w:rPr>
          <w:lang w:val="ru-RU"/>
        </w:rPr>
        <w:t xml:space="preserve"> и липсата на връзка с поставените цели: в табл. 66 инвестиционните нужди за енергийна ефективност в домакинствата са оценени на 11 831.91 млн. евро, от които 11 274.76 за оборудване („например стандартни уреди клас „</w:t>
      </w:r>
      <w:r w:rsidRPr="00823AED">
        <w:t>A</w:t>
      </w:r>
      <w:r w:rsidRPr="008934D6">
        <w:rPr>
          <w:lang w:val="ru-RU"/>
        </w:rPr>
        <w:t>“ или клас „</w:t>
      </w:r>
      <w:r w:rsidRPr="00823AED">
        <w:t>A</w:t>
      </w:r>
      <w:r w:rsidRPr="008934D6">
        <w:rPr>
          <w:lang w:val="ru-RU"/>
        </w:rPr>
        <w:t>+“, вместо клас „</w:t>
      </w:r>
      <w:r w:rsidRPr="00823AED">
        <w:t>B</w:t>
      </w:r>
      <w:r w:rsidRPr="008934D6">
        <w:rPr>
          <w:lang w:val="ru-RU"/>
        </w:rPr>
        <w:t>“ или по-ниски категории“, с. 285) и едва 557.15 за „директни инвестиции в енергийна ефективност“ („провеждани политики за стимулиране обновяването на сгради, стр. 286“). Дори ако оставим настрана нереалистичния очакван обем инвестиции в енергоефективни уреди, останалите възможни съпоставки са фрапиращи: при планирани 22 203</w:t>
      </w:r>
      <w:r w:rsidRPr="00823AED">
        <w:t> </w:t>
      </w:r>
      <w:r w:rsidRPr="008934D6">
        <w:rPr>
          <w:lang w:val="ru-RU"/>
        </w:rPr>
        <w:t xml:space="preserve">509 </w:t>
      </w:r>
      <w:r w:rsidRPr="008934D6">
        <w:rPr>
          <w:vertAlign w:val="superscript"/>
          <w:lang w:val="ru-RU"/>
        </w:rPr>
        <w:t>м2</w:t>
      </w:r>
      <w:r w:rsidRPr="008934D6">
        <w:rPr>
          <w:lang w:val="ru-RU"/>
        </w:rPr>
        <w:t xml:space="preserve"> обновена площ към 2030 г. (табл. 20), това означава инвестиции от 25,09 евро на </w:t>
      </w:r>
      <w:r w:rsidRPr="008934D6">
        <w:rPr>
          <w:vertAlign w:val="superscript"/>
          <w:lang w:val="ru-RU"/>
        </w:rPr>
        <w:t>м2</w:t>
      </w:r>
      <w:r w:rsidRPr="008934D6">
        <w:rPr>
          <w:lang w:val="ru-RU"/>
        </w:rPr>
        <w:t xml:space="preserve">, което е крайно недостатъчно за обновяване, а камо ли за „трансформация на съществуващите сгради в сгради с близко до нулево нетно потребление на енергия“. Като абсолютна стойност, сумата е два пъти по-малка от тази по НПЕЕМЖС, която бе разходвана за 5 години и с която бе постиганото обновяване на по-малко от 5% от многофамилните сгради, а в същото време се твърди, че НПЕЕМЖС ще продължи в дискутирания планов период. </w:t>
      </w:r>
    </w:p>
    <w:p w:rsidR="00173C23" w:rsidRDefault="00173C23" w:rsidP="000A6439">
      <w:pPr>
        <w:pStyle w:val="ListParagraph"/>
        <w:rPr>
          <w:lang w:val="bg-BG"/>
        </w:rPr>
      </w:pPr>
      <w:r w:rsidRPr="008934D6">
        <w:rPr>
          <w:lang w:val="ru-RU"/>
        </w:rPr>
        <w:t>Няма никаква прогноза, с</w:t>
      </w:r>
      <w:r>
        <w:rPr>
          <w:lang w:val="bg-BG"/>
        </w:rPr>
        <w:t>ъ</w:t>
      </w:r>
      <w:r w:rsidRPr="008934D6">
        <w:rPr>
          <w:lang w:val="ru-RU"/>
        </w:rPr>
        <w:t>що така колко енергия се очаква да бъде спестена с огромната инвестиция в „оборудване“, нито как спестената енергия се отнася към общата цел за енергийна ефективност и енергийния баланс на страната.</w:t>
      </w:r>
      <w:r>
        <w:rPr>
          <w:lang w:val="bg-BG"/>
        </w:rPr>
        <w:t xml:space="preserve"> </w:t>
      </w:r>
    </w:p>
    <w:p w:rsidR="00173C23" w:rsidRPr="00691F25" w:rsidRDefault="00173C23" w:rsidP="000A6439">
      <w:pPr>
        <w:pStyle w:val="ListParagraph"/>
        <w:rPr>
          <w:lang w:val="bg-BG"/>
        </w:rPr>
      </w:pPr>
    </w:p>
    <w:p w:rsidR="00173C23" w:rsidRPr="008B2AF5" w:rsidRDefault="00173C23" w:rsidP="000A6439">
      <w:pPr>
        <w:pStyle w:val="Default"/>
        <w:numPr>
          <w:ilvl w:val="1"/>
          <w:numId w:val="22"/>
        </w:numPr>
        <w:spacing w:after="120"/>
        <w:rPr>
          <w:rFonts w:ascii="Times New Roman" w:hAnsi="Times New Roman" w:cs="Times New Roman"/>
          <w:b/>
          <w:bCs/>
          <w:color w:val="auto"/>
          <w:lang w:eastAsia="bg-BG"/>
        </w:rPr>
      </w:pPr>
      <w:r w:rsidRPr="008B2AF5">
        <w:rPr>
          <w:rFonts w:ascii="Times New Roman" w:hAnsi="Times New Roman" w:cs="Times New Roman"/>
          <w:b/>
          <w:bCs/>
          <w:color w:val="auto"/>
          <w:lang w:eastAsia="bg-BG"/>
        </w:rPr>
        <w:t>Политики и мерки</w:t>
      </w:r>
    </w:p>
    <w:p w:rsidR="00173C23" w:rsidRPr="008934D6" w:rsidRDefault="00173C23" w:rsidP="000E657A">
      <w:pPr>
        <w:spacing w:after="120"/>
        <w:ind w:firstLine="720"/>
        <w:rPr>
          <w:lang w:val="ru-RU"/>
        </w:rPr>
      </w:pPr>
      <w:r w:rsidRPr="008934D6">
        <w:rPr>
          <w:lang w:val="ru-RU"/>
        </w:rPr>
        <w:t xml:space="preserve">Като цяло, както и в първата редакция на Плана преобладават описанията на настоящите мерки, без обаче те да бъдат съпътствани с отчитане на реалните резултати, критичен анализ, идентифициране на причини за неизпълнение и мерки за тяхното преодоляване. Особено фрапиращ пример за това е </w:t>
      </w:r>
      <w:r w:rsidRPr="008934D6">
        <w:rPr>
          <w:i/>
          <w:iCs/>
          <w:lang w:val="ru-RU"/>
        </w:rPr>
        <w:t>Национален план за сгради с близко до нулево потребление на енергия 2015 г. – 2020 г.</w:t>
      </w:r>
      <w:r w:rsidRPr="008934D6">
        <w:rPr>
          <w:lang w:val="ru-RU"/>
        </w:rPr>
        <w:t xml:space="preserve"> </w:t>
      </w:r>
    </w:p>
    <w:p w:rsidR="00173C23" w:rsidRPr="008934D6" w:rsidRDefault="00173C23" w:rsidP="000E657A">
      <w:pPr>
        <w:spacing w:after="120"/>
        <w:ind w:firstLine="720"/>
        <w:rPr>
          <w:lang w:val="ru-RU"/>
        </w:rPr>
      </w:pPr>
      <w:r w:rsidRPr="008934D6">
        <w:rPr>
          <w:lang w:val="ru-RU"/>
        </w:rPr>
        <w:t>Нашите конкретни забележки са:</w:t>
      </w:r>
    </w:p>
    <w:p w:rsidR="00173C23" w:rsidRPr="008934D6" w:rsidRDefault="00173C23" w:rsidP="000E657A">
      <w:pPr>
        <w:numPr>
          <w:ilvl w:val="0"/>
          <w:numId w:val="28"/>
        </w:numPr>
        <w:spacing w:after="120"/>
        <w:jc w:val="both"/>
        <w:rPr>
          <w:lang w:val="ru-RU"/>
        </w:rPr>
      </w:pPr>
      <w:r w:rsidRPr="008934D6">
        <w:rPr>
          <w:lang w:val="ru-RU"/>
        </w:rPr>
        <w:t xml:space="preserve">Както и първата редакция на Плана, така и в тази в измерение „Енергийна ефективност” не се коментира, че за да се изпълни европейската политика до 2050 г. всички сгради да бъдат с нулеви емисии, сградите трябва да се приведат до много високи нива на енергийна ефективност първите дейности трябва да се изпълнят в периода до 2030 г. </w:t>
      </w:r>
    </w:p>
    <w:p w:rsidR="00173C23" w:rsidRDefault="00173C23" w:rsidP="000E657A">
      <w:pPr>
        <w:numPr>
          <w:ilvl w:val="0"/>
          <w:numId w:val="28"/>
        </w:numPr>
        <w:spacing w:after="120"/>
        <w:jc w:val="both"/>
        <w:rPr>
          <w:lang w:val="ru-RU"/>
        </w:rPr>
      </w:pPr>
      <w:r w:rsidRPr="008934D6">
        <w:rPr>
          <w:lang w:val="ru-RU"/>
        </w:rPr>
        <w:t xml:space="preserve">На стр. 141 е обявено, че България е </w:t>
      </w:r>
      <w:r w:rsidRPr="008934D6">
        <w:rPr>
          <w:i/>
          <w:iCs/>
          <w:lang w:val="ru-RU"/>
        </w:rPr>
        <w:t>приела “по-амбициозна цел за обновяване на сградите, притежавани и ползвани от централната администрация”</w:t>
      </w:r>
      <w:r w:rsidRPr="008934D6">
        <w:rPr>
          <w:lang w:val="ru-RU"/>
        </w:rPr>
        <w:t xml:space="preserve"> – ежегодно по 5% от фонда, но никъде не може да се намери справка как върви изпълнението на тази амбициозна цел. По мнение на широк кръг енергийни специалисти, обаче качеството и постигнатия енергиен клас на много от реализираните обновявания не са за пример. Ако действително имаме за цел „насърчаване обществените сгради да служат за пример“, следва да се поставят по-амбициозни цели в сравнение с минималните нормативни изисквания и да се финансират съответните пилотни и демонстрационни проекти.</w:t>
      </w:r>
    </w:p>
    <w:p w:rsidR="00173C23" w:rsidRPr="008934D6" w:rsidRDefault="00173C23" w:rsidP="000E657A">
      <w:pPr>
        <w:numPr>
          <w:ilvl w:val="0"/>
          <w:numId w:val="28"/>
        </w:numPr>
        <w:spacing w:after="120"/>
        <w:jc w:val="both"/>
        <w:rPr>
          <w:lang w:val="ru-RU"/>
        </w:rPr>
      </w:pPr>
      <w:r w:rsidRPr="008934D6">
        <w:rPr>
          <w:lang w:val="ru-RU"/>
        </w:rPr>
        <w:t xml:space="preserve">В нормативната уредба продължава да липсват предписания на мерки и санкции при неизпълнение на задълженията и нарушенията по енергийните обследвания и системите за управление; </w:t>
      </w:r>
    </w:p>
    <w:p w:rsidR="00173C23" w:rsidRPr="008934D6" w:rsidRDefault="00173C23" w:rsidP="000E657A">
      <w:pPr>
        <w:numPr>
          <w:ilvl w:val="0"/>
          <w:numId w:val="28"/>
        </w:numPr>
        <w:spacing w:after="120"/>
        <w:jc w:val="both"/>
        <w:rPr>
          <w:lang w:val="ru-RU"/>
        </w:rPr>
      </w:pPr>
      <w:r w:rsidRPr="008934D6">
        <w:rPr>
          <w:lang w:val="ru-RU"/>
        </w:rPr>
        <w:t xml:space="preserve">По отношение на “Енергийно-ефективните обществени поръки” (неточен термин) в Плана са заложени добри идеи, но по нищо не личи как изброените мерки могат да се изпълняват. И ако не се изпълняват задоволително, каква процедура трябва да се приложи, за да се променят порочните практики. </w:t>
      </w:r>
    </w:p>
    <w:p w:rsidR="00173C23" w:rsidRPr="008934D6" w:rsidRDefault="00173C23" w:rsidP="000E657A">
      <w:pPr>
        <w:numPr>
          <w:ilvl w:val="0"/>
          <w:numId w:val="28"/>
        </w:numPr>
        <w:spacing w:after="120"/>
        <w:jc w:val="both"/>
        <w:rPr>
          <w:lang w:val="ru-RU"/>
        </w:rPr>
      </w:pPr>
      <w:r w:rsidRPr="008934D6">
        <w:rPr>
          <w:lang w:val="ru-RU"/>
        </w:rPr>
        <w:t xml:space="preserve">Относно „Програми за информиране и обучение на потребителите” в Плана: текста е  повърхностен и описва формалните задължения за определени компании и институции без никакъв анализ на тяхното изпълнение и ефект до сега. Не са дефиниран каквито и да са ангажименти на държавата за активизиране на комуникационната дейност и осигуряване на финансиране за нея. В област, която е определяна от всички заинтересовани страни като най-критичната за стимулирането на частни инвестиции за енергийна ефективност, подобно отношение е недопустимо. </w:t>
      </w:r>
    </w:p>
    <w:p w:rsidR="00173C23" w:rsidRPr="008934D6" w:rsidRDefault="00173C23" w:rsidP="000E657A">
      <w:pPr>
        <w:numPr>
          <w:ilvl w:val="0"/>
          <w:numId w:val="28"/>
        </w:numPr>
        <w:spacing w:after="120"/>
        <w:jc w:val="both"/>
        <w:rPr>
          <w:lang w:val="ru-RU"/>
        </w:rPr>
      </w:pPr>
      <w:r w:rsidRPr="008934D6">
        <w:rPr>
          <w:lang w:val="ru-RU"/>
        </w:rPr>
        <w:t>По отно</w:t>
      </w:r>
      <w:r>
        <w:rPr>
          <w:lang w:val="bg-BG"/>
        </w:rPr>
        <w:t>ш</w:t>
      </w:r>
      <w:r w:rsidRPr="008934D6">
        <w:rPr>
          <w:lang w:val="ru-RU"/>
        </w:rPr>
        <w:t xml:space="preserve">ение на осигуряване на схеми за квалификация, акредитиране и сертифициране: описва се редът за придобиване и признаване на квалификация за извършване на обследване за енергийна ефективност на сгради и промишлени системи, и сертифициране на сгради, които вече са уредени в ЗЕЕ, който е добре известен. Няма никакво отношение към повишаването на професионалната квалификация и компетентност на заетите в инвестиционния процес, както и към стимулиране на промени в системата за професионално образование и обучения. </w:t>
      </w:r>
    </w:p>
    <w:p w:rsidR="00173C23" w:rsidRPr="008934D6" w:rsidRDefault="00173C23" w:rsidP="000E657A">
      <w:pPr>
        <w:numPr>
          <w:ilvl w:val="0"/>
          <w:numId w:val="28"/>
        </w:numPr>
        <w:spacing w:after="120"/>
        <w:jc w:val="both"/>
        <w:rPr>
          <w:lang w:val="ru-RU"/>
        </w:rPr>
      </w:pPr>
      <w:r w:rsidRPr="008934D6">
        <w:rPr>
          <w:lang w:val="ru-RU"/>
        </w:rPr>
        <w:t xml:space="preserve">Относно финансовите мерки, включително подкрепа от ЕС и използване на средства от фондовете на ЕС на национално равнище (стр. 155): отново се допуска при разработване на схеми и механизми за насърчаване на енергийната ефективност в сгради да се отчитат </w:t>
      </w:r>
      <w:r w:rsidRPr="008934D6">
        <w:rPr>
          <w:b/>
          <w:bCs/>
          <w:lang w:val="ru-RU"/>
        </w:rPr>
        <w:t>само прогнозните спестявания на енергия</w:t>
      </w:r>
      <w:r w:rsidRPr="008934D6">
        <w:rPr>
          <w:lang w:val="ru-RU"/>
        </w:rPr>
        <w:t xml:space="preserve">, като се използват </w:t>
      </w:r>
      <w:r w:rsidRPr="008934D6">
        <w:rPr>
          <w:i/>
          <w:iCs/>
          <w:lang w:val="ru-RU"/>
        </w:rPr>
        <w:t>„стандартните стойности за изчисляване на спестяването на енергия в сградите“.</w:t>
      </w:r>
      <w:r w:rsidRPr="008934D6">
        <w:rPr>
          <w:lang w:val="ru-RU"/>
        </w:rPr>
        <w:t xml:space="preserve"> Този подход демонстрира явно нежелание за прилагане на мониторинг и подобряване на отчетността, които са едни от основните недостатъци на настоящите политики, и които не трябва да продължават в следващия период. </w:t>
      </w:r>
    </w:p>
    <w:p w:rsidR="00173C23" w:rsidRPr="008934D6" w:rsidRDefault="00173C23" w:rsidP="000E657A">
      <w:pPr>
        <w:numPr>
          <w:ilvl w:val="0"/>
          <w:numId w:val="28"/>
        </w:numPr>
        <w:spacing w:after="120"/>
        <w:jc w:val="both"/>
        <w:rPr>
          <w:lang w:val="ru-RU"/>
        </w:rPr>
      </w:pPr>
      <w:r w:rsidRPr="008934D6">
        <w:rPr>
          <w:lang w:val="ru-RU"/>
        </w:rPr>
        <w:t>Енергийна бедност: препратки към темата се намират на няколко места в документа, като цели пасажи на стр. 174-177 се повтарят дословно без видима причина. Темата е представена повърхностно и без конкретни количествени анализи. Прави впечатление, че единствено в този контекст се споменава „</w:t>
      </w:r>
      <w:r w:rsidRPr="008934D6">
        <w:rPr>
          <w:i/>
          <w:iCs/>
          <w:lang w:val="ru-RU"/>
        </w:rPr>
        <w:t>обновяване до клас В</w:t>
      </w:r>
      <w:r w:rsidRPr="008934D6">
        <w:rPr>
          <w:lang w:val="ru-RU"/>
        </w:rPr>
        <w:t xml:space="preserve">” – без връзка с конкретни политики и мерки, както и че ще се работи за </w:t>
      </w:r>
      <w:r w:rsidRPr="008934D6">
        <w:rPr>
          <w:i/>
          <w:iCs/>
          <w:lang w:val="ru-RU"/>
        </w:rPr>
        <w:t>„намаляване на броя на потребителите, включени в определението за „енергийно бедни““</w:t>
      </w:r>
      <w:r w:rsidRPr="008934D6">
        <w:rPr>
          <w:lang w:val="ru-RU"/>
        </w:rPr>
        <w:t xml:space="preserve">, без подобно определение да е въведено в този или друг документ. </w:t>
      </w:r>
    </w:p>
    <w:p w:rsidR="00173C23" w:rsidRPr="008934D6" w:rsidRDefault="00173C23" w:rsidP="000E657A">
      <w:pPr>
        <w:numPr>
          <w:ilvl w:val="0"/>
          <w:numId w:val="28"/>
        </w:numPr>
        <w:spacing w:after="120"/>
        <w:jc w:val="both"/>
        <w:rPr>
          <w:lang w:val="ru-RU"/>
        </w:rPr>
      </w:pPr>
      <w:r w:rsidRPr="008934D6">
        <w:rPr>
          <w:lang w:val="ru-RU"/>
        </w:rPr>
        <w:t xml:space="preserve">Текстът </w:t>
      </w:r>
      <w:r w:rsidRPr="008934D6">
        <w:rPr>
          <w:i/>
          <w:iCs/>
          <w:lang w:val="ru-RU"/>
        </w:rPr>
        <w:t xml:space="preserve">„Разработване и периодичен преглед на минималните изисквания за енергийни характеристики на сградите при използване на оптимални разходи и хармонизиране на техническите изисквания за проектиране, изграждане и поддръжка на стабилни, здравословни, високотехнологични и енергийно ефективни сгради с европейското законодателство в тази област. Подобряване на жизнения цикъл на сградите за периода 2015 – 2030 г.“ </w:t>
      </w:r>
      <w:r w:rsidRPr="008934D6">
        <w:rPr>
          <w:lang w:val="ru-RU"/>
        </w:rPr>
        <w:t xml:space="preserve">освен че е многословен е и неразбираем, въвежда неизвестното до този момент понятие </w:t>
      </w:r>
      <w:r w:rsidRPr="008934D6">
        <w:rPr>
          <w:i/>
          <w:iCs/>
          <w:lang w:val="ru-RU"/>
        </w:rPr>
        <w:t>„Подобряване на жизнения цикъл на сградите за периода 2015 – 2030 г.“</w:t>
      </w:r>
    </w:p>
    <w:p w:rsidR="00173C23" w:rsidRDefault="00173C23" w:rsidP="000E657A">
      <w:pPr>
        <w:pStyle w:val="Default"/>
        <w:numPr>
          <w:ilvl w:val="0"/>
          <w:numId w:val="28"/>
        </w:numPr>
        <w:spacing w:after="120"/>
        <w:rPr>
          <w:rFonts w:ascii="Times New Roman" w:hAnsi="Times New Roman" w:cs="Times New Roman"/>
          <w:color w:val="auto"/>
        </w:rPr>
      </w:pPr>
      <w:r>
        <w:rPr>
          <w:rFonts w:ascii="Times New Roman" w:hAnsi="Times New Roman" w:cs="Times New Roman"/>
          <w:color w:val="auto"/>
        </w:rPr>
        <w:t>По отношение на о</w:t>
      </w:r>
      <w:r w:rsidRPr="008A6ECA">
        <w:rPr>
          <w:rFonts w:ascii="Times New Roman" w:hAnsi="Times New Roman" w:cs="Times New Roman"/>
          <w:color w:val="auto"/>
        </w:rPr>
        <w:t>птимални</w:t>
      </w:r>
      <w:r>
        <w:rPr>
          <w:rFonts w:ascii="Times New Roman" w:hAnsi="Times New Roman" w:cs="Times New Roman"/>
          <w:color w:val="auto"/>
        </w:rPr>
        <w:t xml:space="preserve">те </w:t>
      </w:r>
      <w:r w:rsidRPr="008A6ECA">
        <w:rPr>
          <w:rFonts w:ascii="Times New Roman" w:hAnsi="Times New Roman" w:cs="Times New Roman"/>
          <w:color w:val="auto"/>
        </w:rPr>
        <w:t>разход</w:t>
      </w:r>
      <w:r>
        <w:rPr>
          <w:rFonts w:ascii="Times New Roman" w:hAnsi="Times New Roman" w:cs="Times New Roman"/>
          <w:color w:val="auto"/>
        </w:rPr>
        <w:t>ни</w:t>
      </w:r>
      <w:r w:rsidRPr="008A6ECA">
        <w:rPr>
          <w:rFonts w:ascii="Times New Roman" w:hAnsi="Times New Roman" w:cs="Times New Roman"/>
          <w:color w:val="auto"/>
        </w:rPr>
        <w:t xml:space="preserve"> нива </w:t>
      </w:r>
      <w:r>
        <w:rPr>
          <w:rFonts w:ascii="Times New Roman" w:hAnsi="Times New Roman" w:cs="Times New Roman"/>
          <w:color w:val="auto"/>
        </w:rPr>
        <w:t xml:space="preserve">и </w:t>
      </w:r>
      <w:r w:rsidRPr="008A6ECA">
        <w:rPr>
          <w:rFonts w:ascii="Times New Roman" w:hAnsi="Times New Roman" w:cs="Times New Roman"/>
          <w:color w:val="auto"/>
        </w:rPr>
        <w:t>на минимални</w:t>
      </w:r>
      <w:r>
        <w:rPr>
          <w:rFonts w:ascii="Times New Roman" w:hAnsi="Times New Roman" w:cs="Times New Roman"/>
          <w:color w:val="auto"/>
        </w:rPr>
        <w:t>те</w:t>
      </w:r>
      <w:r w:rsidRPr="008A6ECA">
        <w:rPr>
          <w:rFonts w:ascii="Times New Roman" w:hAnsi="Times New Roman" w:cs="Times New Roman"/>
          <w:color w:val="auto"/>
        </w:rPr>
        <w:t xml:space="preserve"> енергийни характеристики, получени в резултат от националните изчисления в съответствие с член 5 от Директива 2010/31/ЕС: този изключително важен анализ е представен без никаква конкретика, като липсва препратка към цитирания Доклад за изчисляване на оптимални по отношение на разход</w:t>
      </w:r>
      <w:r>
        <w:rPr>
          <w:rFonts w:ascii="Times New Roman" w:hAnsi="Times New Roman" w:cs="Times New Roman"/>
          <w:color w:val="auto"/>
        </w:rPr>
        <w:t>н</w:t>
      </w:r>
      <w:r w:rsidRPr="008A6ECA">
        <w:rPr>
          <w:rFonts w:ascii="Times New Roman" w:hAnsi="Times New Roman" w:cs="Times New Roman"/>
          <w:color w:val="auto"/>
        </w:rPr>
        <w:t xml:space="preserve">ите равнища на минимални изисквания за енергийните характеристики на сградите в Република България. Тази липса на прозрачност не позволява смислени коментари и поражда недоверие </w:t>
      </w:r>
      <w:r>
        <w:rPr>
          <w:rFonts w:ascii="Times New Roman" w:hAnsi="Times New Roman" w:cs="Times New Roman"/>
          <w:color w:val="auto"/>
        </w:rPr>
        <w:t>към</w:t>
      </w:r>
      <w:r w:rsidRPr="008A6ECA">
        <w:rPr>
          <w:rFonts w:ascii="Times New Roman" w:hAnsi="Times New Roman" w:cs="Times New Roman"/>
          <w:color w:val="auto"/>
        </w:rPr>
        <w:t xml:space="preserve"> всички разчети</w:t>
      </w:r>
      <w:r>
        <w:rPr>
          <w:rFonts w:ascii="Times New Roman" w:hAnsi="Times New Roman" w:cs="Times New Roman"/>
          <w:color w:val="auto"/>
        </w:rPr>
        <w:t>,</w:t>
      </w:r>
      <w:r w:rsidRPr="008A6ECA">
        <w:rPr>
          <w:rFonts w:ascii="Times New Roman" w:hAnsi="Times New Roman" w:cs="Times New Roman"/>
          <w:color w:val="auto"/>
        </w:rPr>
        <w:t xml:space="preserve"> както в този, така и в предходните планови документи. </w:t>
      </w:r>
    </w:p>
    <w:p w:rsidR="00173C23" w:rsidRDefault="00173C23" w:rsidP="001C3C11">
      <w:pPr>
        <w:pStyle w:val="Default"/>
        <w:spacing w:after="120"/>
        <w:ind w:firstLine="360"/>
        <w:rPr>
          <w:rFonts w:ascii="Times New Roman" w:hAnsi="Times New Roman" w:cs="Times New Roman"/>
          <w:b/>
          <w:color w:val="auto"/>
          <w:sz w:val="28"/>
          <w:szCs w:val="28"/>
          <w:lang w:val="ru-RU" w:eastAsia="bg-BG"/>
        </w:rPr>
      </w:pPr>
      <w:r>
        <w:rPr>
          <w:rFonts w:ascii="Times New Roman" w:hAnsi="Times New Roman" w:cs="Times New Roman"/>
          <w:b/>
          <w:color w:val="auto"/>
          <w:sz w:val="28"/>
          <w:szCs w:val="28"/>
          <w:lang w:val="ru-RU" w:eastAsia="bg-BG"/>
        </w:rPr>
        <w:t xml:space="preserve">4. </w:t>
      </w:r>
      <w:r w:rsidRPr="001C3C11">
        <w:rPr>
          <w:rFonts w:ascii="Times New Roman" w:hAnsi="Times New Roman" w:cs="Times New Roman"/>
          <w:b/>
          <w:color w:val="auto"/>
          <w:sz w:val="28"/>
          <w:szCs w:val="28"/>
          <w:lang w:val="ru-RU" w:eastAsia="bg-BG"/>
        </w:rPr>
        <w:t>Измерение „Научни изследвания, иновации и конкурентоспособност“</w:t>
      </w:r>
    </w:p>
    <w:p w:rsidR="00173C23" w:rsidRDefault="00173C23" w:rsidP="00D33596">
      <w:pPr>
        <w:pStyle w:val="Default"/>
        <w:spacing w:after="120"/>
        <w:ind w:firstLine="720"/>
        <w:rPr>
          <w:rFonts w:ascii="Times New Roman" w:hAnsi="Times New Roman" w:cs="Times New Roman"/>
          <w:color w:val="auto"/>
          <w:lang w:val="ru-RU" w:eastAsia="bg-BG"/>
        </w:rPr>
      </w:pPr>
      <w:r w:rsidRPr="003F2A00">
        <w:rPr>
          <w:rFonts w:ascii="Times New Roman" w:hAnsi="Times New Roman" w:cs="Times New Roman"/>
          <w:color w:val="auto"/>
          <w:lang w:val="ru-RU" w:eastAsia="bg-BG"/>
        </w:rPr>
        <w:t>В Плана липсва анализ на сериозния научно-технически потенциал ва българските научни институти, ВУЗ-овете и БАН в областта на съвременните енергийни технологии</w:t>
      </w:r>
      <w:r>
        <w:rPr>
          <w:rFonts w:ascii="Times New Roman" w:hAnsi="Times New Roman" w:cs="Times New Roman"/>
          <w:color w:val="auto"/>
          <w:lang w:val="ru-RU" w:eastAsia="bg-BG"/>
        </w:rPr>
        <w:t xml:space="preserve"> и перспективите за неговото участие в европейското разделение на усилията и финансирането на такива научно-технически разработки.</w:t>
      </w:r>
    </w:p>
    <w:p w:rsidR="00173C23" w:rsidRDefault="00173C23" w:rsidP="00D33596">
      <w:pPr>
        <w:pStyle w:val="Default"/>
        <w:spacing w:after="120"/>
        <w:ind w:firstLine="720"/>
        <w:rPr>
          <w:rFonts w:ascii="Times New Roman" w:hAnsi="Times New Roman" w:cs="Times New Roman"/>
          <w:color w:val="auto"/>
          <w:lang w:val="ru-RU" w:eastAsia="bg-BG"/>
        </w:rPr>
      </w:pPr>
      <w:r>
        <w:rPr>
          <w:rFonts w:ascii="Times New Roman" w:hAnsi="Times New Roman" w:cs="Times New Roman"/>
          <w:color w:val="auto"/>
          <w:lang w:val="ru-RU" w:eastAsia="bg-BG"/>
        </w:rPr>
        <w:t>В Плана трябва изрично да се подчертаят изключителните успехи на българския научно технически потенциал и инженерни компании по изграждане под ключ на големи фотоволтаични проекти в много страни на света, в това число САЩ, Австралия, Германия, Русия, Австрия и други</w:t>
      </w:r>
      <w:r w:rsidRPr="003F2A00">
        <w:rPr>
          <w:rFonts w:ascii="Times New Roman" w:hAnsi="Times New Roman" w:cs="Times New Roman"/>
          <w:color w:val="auto"/>
          <w:lang w:val="ru-RU" w:eastAsia="bg-BG"/>
        </w:rPr>
        <w:t>.</w:t>
      </w:r>
      <w:r>
        <w:rPr>
          <w:rFonts w:ascii="Times New Roman" w:hAnsi="Times New Roman" w:cs="Times New Roman"/>
          <w:color w:val="auto"/>
          <w:lang w:val="ru-RU" w:eastAsia="bg-BG"/>
        </w:rPr>
        <w:t xml:space="preserve"> Това определя ноу-хауто на българската фотоволтаична индустрия на едно от първите места в света по износ на инженерни услуги в тази област. </w:t>
      </w:r>
    </w:p>
    <w:p w:rsidR="00173C23" w:rsidRDefault="00173C23" w:rsidP="00D33596">
      <w:pPr>
        <w:pStyle w:val="Default"/>
        <w:spacing w:after="120"/>
        <w:ind w:firstLine="720"/>
        <w:rPr>
          <w:rFonts w:ascii="Times New Roman" w:hAnsi="Times New Roman" w:cs="Times New Roman"/>
          <w:color w:val="auto"/>
          <w:lang w:val="ru-RU" w:eastAsia="bg-BG"/>
        </w:rPr>
      </w:pPr>
      <w:r w:rsidRPr="003F2A00">
        <w:rPr>
          <w:rFonts w:ascii="Times New Roman" w:hAnsi="Times New Roman" w:cs="Times New Roman"/>
          <w:color w:val="auto"/>
          <w:lang w:val="ru-RU" w:eastAsia="bg-BG"/>
        </w:rPr>
        <w:t xml:space="preserve">Необходимо е </w:t>
      </w:r>
      <w:r>
        <w:rPr>
          <w:rFonts w:ascii="Times New Roman" w:hAnsi="Times New Roman" w:cs="Times New Roman"/>
          <w:color w:val="auto"/>
          <w:lang w:val="ru-RU" w:eastAsia="bg-BG"/>
        </w:rPr>
        <w:t>да бъдат заявени потенциалите на българската наука в области като:</w:t>
      </w:r>
    </w:p>
    <w:p w:rsidR="00173C23" w:rsidRDefault="00173C23" w:rsidP="008936A4">
      <w:pPr>
        <w:pStyle w:val="Default"/>
        <w:numPr>
          <w:ilvl w:val="0"/>
          <w:numId w:val="32"/>
        </w:numPr>
        <w:ind w:left="1077" w:hanging="357"/>
        <w:rPr>
          <w:rFonts w:ascii="Times New Roman" w:hAnsi="Times New Roman" w:cs="Times New Roman"/>
          <w:color w:val="auto"/>
          <w:lang w:val="ru-RU" w:eastAsia="bg-BG"/>
        </w:rPr>
      </w:pPr>
      <w:r>
        <w:rPr>
          <w:rFonts w:ascii="Times New Roman" w:hAnsi="Times New Roman" w:cs="Times New Roman"/>
          <w:color w:val="auto"/>
          <w:lang w:val="ru-RU" w:eastAsia="bg-BG"/>
        </w:rPr>
        <w:t>разработка на водородни клетки;</w:t>
      </w:r>
    </w:p>
    <w:p w:rsidR="00173C23" w:rsidRDefault="00173C23" w:rsidP="008936A4">
      <w:pPr>
        <w:pStyle w:val="Default"/>
        <w:numPr>
          <w:ilvl w:val="0"/>
          <w:numId w:val="32"/>
        </w:numPr>
        <w:ind w:left="1077" w:hanging="357"/>
        <w:rPr>
          <w:rFonts w:ascii="Times New Roman" w:hAnsi="Times New Roman" w:cs="Times New Roman"/>
          <w:color w:val="auto"/>
          <w:lang w:val="ru-RU" w:eastAsia="bg-BG"/>
        </w:rPr>
      </w:pPr>
      <w:r>
        <w:rPr>
          <w:rFonts w:ascii="Times New Roman" w:hAnsi="Times New Roman" w:cs="Times New Roman"/>
          <w:color w:val="auto"/>
          <w:lang w:val="ru-RU" w:eastAsia="bg-BG"/>
        </w:rPr>
        <w:t>изследвания и разработки на прототипи на акумулаторни батерии за бъдещите компенсатори на произведената енергия от ВЕИ;</w:t>
      </w:r>
      <w:r w:rsidRPr="003F2A00">
        <w:rPr>
          <w:rFonts w:ascii="Times New Roman" w:hAnsi="Times New Roman" w:cs="Times New Roman"/>
          <w:color w:val="auto"/>
          <w:lang w:val="ru-RU" w:eastAsia="bg-BG"/>
        </w:rPr>
        <w:t xml:space="preserve"> </w:t>
      </w:r>
    </w:p>
    <w:p w:rsidR="00173C23" w:rsidRDefault="00173C23" w:rsidP="008936A4">
      <w:pPr>
        <w:pStyle w:val="Default"/>
        <w:numPr>
          <w:ilvl w:val="0"/>
          <w:numId w:val="32"/>
        </w:numPr>
        <w:ind w:left="1077" w:hanging="357"/>
        <w:rPr>
          <w:rFonts w:ascii="Times New Roman" w:hAnsi="Times New Roman" w:cs="Times New Roman"/>
          <w:color w:val="auto"/>
          <w:lang w:val="ru-RU" w:eastAsia="bg-BG"/>
        </w:rPr>
      </w:pPr>
      <w:r>
        <w:rPr>
          <w:rFonts w:ascii="Times New Roman" w:hAnsi="Times New Roman" w:cs="Times New Roman"/>
          <w:color w:val="auto"/>
          <w:lang w:val="ru-RU" w:eastAsia="bg-BG"/>
        </w:rPr>
        <w:t>изследвания и разработка на прототипи на модули за производство на електроенергия от сероводорода в дълбоките води на Черно море;</w:t>
      </w:r>
    </w:p>
    <w:p w:rsidR="00173C23" w:rsidRDefault="00173C23" w:rsidP="008936A4">
      <w:pPr>
        <w:pStyle w:val="Default"/>
        <w:numPr>
          <w:ilvl w:val="0"/>
          <w:numId w:val="32"/>
        </w:numPr>
        <w:ind w:left="1077" w:hanging="357"/>
        <w:rPr>
          <w:rFonts w:ascii="Times New Roman" w:hAnsi="Times New Roman" w:cs="Times New Roman"/>
          <w:color w:val="auto"/>
          <w:lang w:val="ru-RU" w:eastAsia="bg-BG"/>
        </w:rPr>
      </w:pPr>
      <w:r>
        <w:rPr>
          <w:rFonts w:ascii="Times New Roman" w:hAnsi="Times New Roman" w:cs="Times New Roman"/>
          <w:color w:val="auto"/>
          <w:lang w:val="ru-RU" w:eastAsia="bg-BG"/>
        </w:rPr>
        <w:t>изследвания и разработка на технологии за оползотворяване на газовите шисти във водите на Черно море;</w:t>
      </w:r>
    </w:p>
    <w:p w:rsidR="00173C23" w:rsidRDefault="00173C23" w:rsidP="008936A4">
      <w:pPr>
        <w:pStyle w:val="Default"/>
        <w:numPr>
          <w:ilvl w:val="0"/>
          <w:numId w:val="32"/>
        </w:numPr>
        <w:ind w:left="1077" w:hanging="357"/>
        <w:rPr>
          <w:rFonts w:ascii="Times New Roman" w:hAnsi="Times New Roman" w:cs="Times New Roman"/>
          <w:color w:val="auto"/>
          <w:lang w:val="ru-RU" w:eastAsia="bg-BG"/>
        </w:rPr>
      </w:pPr>
      <w:r>
        <w:rPr>
          <w:rFonts w:ascii="Times New Roman" w:hAnsi="Times New Roman" w:cs="Times New Roman"/>
          <w:color w:val="auto"/>
          <w:lang w:val="ru-RU" w:eastAsia="bg-BG"/>
        </w:rPr>
        <w:t xml:space="preserve">приложни изследвания за газификация на отпадъци за енергийното им беземисионно оползотворяване </w:t>
      </w:r>
    </w:p>
    <w:p w:rsidR="00173C23" w:rsidRPr="003F2A00" w:rsidRDefault="00173C23" w:rsidP="001C3C11">
      <w:pPr>
        <w:pStyle w:val="Default"/>
        <w:spacing w:after="120"/>
        <w:ind w:firstLine="360"/>
        <w:rPr>
          <w:rFonts w:ascii="Times New Roman" w:hAnsi="Times New Roman" w:cs="Times New Roman"/>
          <w:color w:val="auto"/>
          <w:lang w:val="ru-RU" w:eastAsia="bg-BG"/>
        </w:rPr>
      </w:pPr>
      <w:r>
        <w:rPr>
          <w:rFonts w:ascii="Times New Roman" w:hAnsi="Times New Roman" w:cs="Times New Roman"/>
          <w:color w:val="auto"/>
          <w:lang w:val="ru-RU" w:eastAsia="bg-BG"/>
        </w:rPr>
        <w:t xml:space="preserve"> </w:t>
      </w:r>
    </w:p>
    <w:p w:rsidR="00173C23" w:rsidRPr="00731777" w:rsidRDefault="00173C23" w:rsidP="00FA70C6">
      <w:pPr>
        <w:pStyle w:val="Default"/>
        <w:numPr>
          <w:ilvl w:val="0"/>
          <w:numId w:val="35"/>
        </w:numPr>
        <w:spacing w:after="120"/>
        <w:rPr>
          <w:rFonts w:ascii="Times New Roman" w:hAnsi="Times New Roman" w:cs="Times New Roman"/>
          <w:b/>
          <w:bCs/>
          <w:color w:val="auto"/>
          <w:sz w:val="28"/>
          <w:szCs w:val="28"/>
          <w:lang w:eastAsia="bg-BG"/>
        </w:rPr>
      </w:pPr>
      <w:r w:rsidRPr="00731777">
        <w:rPr>
          <w:rFonts w:ascii="Times New Roman" w:hAnsi="Times New Roman" w:cs="Times New Roman"/>
          <w:b/>
          <w:bCs/>
          <w:color w:val="auto"/>
          <w:sz w:val="28"/>
          <w:szCs w:val="28"/>
          <w:lang w:eastAsia="bg-BG"/>
        </w:rPr>
        <w:t>Заключения и препоръки</w:t>
      </w:r>
    </w:p>
    <w:p w:rsidR="00173C23" w:rsidRDefault="00173C23" w:rsidP="008936A4">
      <w:pPr>
        <w:pStyle w:val="Default"/>
        <w:spacing w:after="120"/>
        <w:ind w:firstLine="720"/>
        <w:rPr>
          <w:rFonts w:ascii="Times New Roman" w:hAnsi="Times New Roman" w:cs="Times New Roman"/>
          <w:color w:val="auto"/>
          <w:lang w:eastAsia="bg-BG"/>
        </w:rPr>
      </w:pPr>
      <w:r>
        <w:rPr>
          <w:rFonts w:ascii="Times New Roman" w:hAnsi="Times New Roman" w:cs="Times New Roman"/>
          <w:color w:val="auto"/>
          <w:lang w:eastAsia="bg-BG"/>
        </w:rPr>
        <w:t xml:space="preserve">Общото впечатление е, че в разработката на тази втора редакция на </w:t>
      </w:r>
      <w:r w:rsidRPr="008A6ECA">
        <w:rPr>
          <w:rFonts w:ascii="Times New Roman" w:hAnsi="Times New Roman" w:cs="Times New Roman"/>
          <w:color w:val="auto"/>
          <w:lang w:eastAsia="bg-BG"/>
        </w:rPr>
        <w:t>ИНПЕК</w:t>
      </w:r>
      <w:r>
        <w:rPr>
          <w:rFonts w:ascii="Times New Roman" w:hAnsi="Times New Roman" w:cs="Times New Roman"/>
          <w:color w:val="auto"/>
          <w:lang w:eastAsia="bg-BG"/>
        </w:rPr>
        <w:t xml:space="preserve"> са </w:t>
      </w:r>
      <w:r w:rsidRPr="008A6ECA">
        <w:rPr>
          <w:rFonts w:ascii="Times New Roman" w:hAnsi="Times New Roman" w:cs="Times New Roman"/>
          <w:color w:val="auto"/>
          <w:lang w:eastAsia="bg-BG"/>
        </w:rPr>
        <w:t xml:space="preserve"> </w:t>
      </w:r>
      <w:r>
        <w:rPr>
          <w:rFonts w:ascii="Times New Roman" w:hAnsi="Times New Roman" w:cs="Times New Roman"/>
          <w:color w:val="auto"/>
          <w:lang w:eastAsia="bg-BG"/>
        </w:rPr>
        <w:t>работили голям брой различни по профил специалисти от редица ведомства и консултантски компании. Тя определено е много по-добро отражение на европейските стандарти и изисквания в сравнение с първата редакция. Прави впечатление, обаче, повтарящата се и тук липса на интегрална визия за целите и съдържанието на документа, както и консистентни и  консолидирани позиции по отделните измерения.</w:t>
      </w:r>
    </w:p>
    <w:p w:rsidR="00173C23" w:rsidRDefault="00173C23" w:rsidP="008936A4">
      <w:pPr>
        <w:pStyle w:val="Default"/>
        <w:spacing w:after="120"/>
        <w:ind w:firstLine="720"/>
        <w:rPr>
          <w:rFonts w:ascii="Times New Roman" w:hAnsi="Times New Roman" w:cs="Times New Roman"/>
          <w:color w:val="auto"/>
          <w:lang w:eastAsia="bg-BG"/>
        </w:rPr>
      </w:pPr>
      <w:r>
        <w:rPr>
          <w:rFonts w:ascii="Times New Roman" w:hAnsi="Times New Roman" w:cs="Times New Roman"/>
          <w:color w:val="auto"/>
          <w:lang w:eastAsia="bg-BG"/>
        </w:rPr>
        <w:t xml:space="preserve">Не проличава положителното отношение на авторите, че това е документ, който не налага „пранги” на българското енергийно развитие, а дава хоризонти за ново технологично развитие, повече работни места и чиста околна среда. </w:t>
      </w:r>
    </w:p>
    <w:p w:rsidR="00173C23" w:rsidRDefault="00173C23" w:rsidP="008936A4">
      <w:pPr>
        <w:pStyle w:val="Default"/>
        <w:spacing w:after="120"/>
        <w:ind w:firstLine="720"/>
        <w:rPr>
          <w:rFonts w:ascii="Times New Roman" w:hAnsi="Times New Roman" w:cs="Times New Roman"/>
          <w:color w:val="auto"/>
          <w:lang w:eastAsia="bg-BG"/>
        </w:rPr>
      </w:pPr>
      <w:r>
        <w:rPr>
          <w:rFonts w:ascii="Times New Roman" w:hAnsi="Times New Roman" w:cs="Times New Roman"/>
          <w:color w:val="auto"/>
          <w:lang w:eastAsia="bg-BG"/>
        </w:rPr>
        <w:t xml:space="preserve">Преди да изложим нашите забележки, предлагаме като първа препоръка да бъде извършен цялостен преглед и преработване на базовите икономически параметри на плановете и прогнозните горивно-енергийните баланси на енергетиката, което трябва да се основе на принципа </w:t>
      </w:r>
      <w:r w:rsidRPr="006926B9">
        <w:rPr>
          <w:rFonts w:ascii="Times New Roman" w:hAnsi="Times New Roman" w:cs="Times New Roman"/>
          <w:i/>
          <w:iCs/>
          <w:color w:val="auto"/>
          <w:lang w:eastAsia="bg-BG"/>
        </w:rPr>
        <w:t>„развитие с минимални разходи”</w:t>
      </w:r>
      <w:r>
        <w:rPr>
          <w:rFonts w:ascii="Times New Roman" w:hAnsi="Times New Roman" w:cs="Times New Roman"/>
          <w:color w:val="auto"/>
          <w:lang w:eastAsia="bg-BG"/>
        </w:rPr>
        <w:t xml:space="preserve"> и в съответстнвие с действащите изисквания на Закона за енергетиката.    </w:t>
      </w:r>
    </w:p>
    <w:p w:rsidR="00173C23" w:rsidRDefault="00173C23" w:rsidP="008936A4">
      <w:pPr>
        <w:pStyle w:val="Default"/>
        <w:spacing w:after="120"/>
        <w:ind w:firstLine="708"/>
        <w:rPr>
          <w:rFonts w:ascii="Times New Roman" w:hAnsi="Times New Roman" w:cs="Times New Roman"/>
          <w:color w:val="auto"/>
          <w:lang w:eastAsia="bg-BG"/>
        </w:rPr>
      </w:pPr>
      <w:r>
        <w:rPr>
          <w:rFonts w:ascii="Times New Roman" w:hAnsi="Times New Roman" w:cs="Times New Roman"/>
          <w:color w:val="auto"/>
          <w:lang w:eastAsia="bg-BG"/>
        </w:rPr>
        <w:t xml:space="preserve">По отделните измерения предлагаме в бъдещата Енергийна стратегия да бъдат отразени  следните принципи и приоритети на развитие: </w:t>
      </w:r>
    </w:p>
    <w:p w:rsidR="00173C23" w:rsidRPr="008934D6" w:rsidRDefault="00173C23" w:rsidP="00BC7C3A">
      <w:pPr>
        <w:spacing w:after="120"/>
        <w:ind w:firstLine="708"/>
        <w:jc w:val="both"/>
        <w:rPr>
          <w:lang w:val="ru-RU" w:eastAsia="bg-BG"/>
        </w:rPr>
      </w:pPr>
      <w:r w:rsidRPr="008934D6">
        <w:rPr>
          <w:b/>
          <w:lang w:val="ru-RU" w:eastAsia="bg-BG"/>
        </w:rPr>
        <w:t>Приоритет 1:</w:t>
      </w:r>
      <w:r w:rsidRPr="008934D6">
        <w:rPr>
          <w:lang w:val="ru-RU" w:eastAsia="bg-BG"/>
        </w:rPr>
        <w:t xml:space="preserve"> В областта на енергийната ефективност в Плана трябва бъдат включени следните наложителни </w:t>
      </w:r>
      <w:r>
        <w:rPr>
          <w:lang w:val="bg-BG" w:eastAsia="bg-BG"/>
        </w:rPr>
        <w:t>промени в политиките и действията</w:t>
      </w:r>
      <w:r w:rsidRPr="008934D6">
        <w:rPr>
          <w:lang w:val="ru-RU" w:eastAsia="bg-BG"/>
        </w:rPr>
        <w:t>:</w:t>
      </w:r>
    </w:p>
    <w:p w:rsidR="00173C23" w:rsidRPr="008934D6" w:rsidRDefault="00173C23" w:rsidP="000F589A">
      <w:pPr>
        <w:numPr>
          <w:ilvl w:val="0"/>
          <w:numId w:val="34"/>
        </w:numPr>
        <w:spacing w:after="120"/>
        <w:jc w:val="both"/>
        <w:rPr>
          <w:lang w:val="ru-RU"/>
        </w:rPr>
      </w:pPr>
      <w:r w:rsidRPr="008934D6">
        <w:rPr>
          <w:lang w:val="ru-RU"/>
        </w:rPr>
        <w:t>Определянето на стратегическите цели по енергийна ефективност в бъдещите програми следва да се извършва след секторен анализ „отдолу-нагоре”, като целите се представят с числовите си изражения спрямо ясна базова линия. Трябва да се използват еднакви мерни единици за енергия, за да се улеснят сравненията. Единствено по този начин може да се остойностиролята на енергийните спестявания чрез мерки за енергийна ефективност в енергийния баланс на страната.</w:t>
      </w:r>
    </w:p>
    <w:p w:rsidR="00173C23" w:rsidRPr="008934D6" w:rsidRDefault="00173C23" w:rsidP="000F589A">
      <w:pPr>
        <w:numPr>
          <w:ilvl w:val="0"/>
          <w:numId w:val="34"/>
        </w:numPr>
        <w:spacing w:after="120"/>
        <w:jc w:val="both"/>
        <w:rPr>
          <w:lang w:val="ru-RU"/>
        </w:rPr>
      </w:pPr>
      <w:r w:rsidRPr="008934D6">
        <w:rPr>
          <w:lang w:val="ru-RU"/>
        </w:rPr>
        <w:t xml:space="preserve">При описанията и оценките на мерките по енергийна ефективност трябва да се указват връзките им със съответните политики и цели. Освен оценка на потенциалната икономия на енергия и на намалението на емисиите, трябва да се прави оценка на целесъобразността - оценка на инвестициите спрямо ползите. </w:t>
      </w:r>
    </w:p>
    <w:p w:rsidR="00173C23" w:rsidRPr="008934D6" w:rsidRDefault="00173C23" w:rsidP="000F589A">
      <w:pPr>
        <w:numPr>
          <w:ilvl w:val="0"/>
          <w:numId w:val="34"/>
        </w:numPr>
        <w:spacing w:after="120"/>
        <w:jc w:val="both"/>
        <w:rPr>
          <w:rFonts w:ascii="Calibri" w:hAnsi="Calibri"/>
          <w:sz w:val="22"/>
          <w:szCs w:val="22"/>
          <w:lang w:val="ru-RU"/>
        </w:rPr>
      </w:pPr>
      <w:r w:rsidRPr="008934D6">
        <w:rPr>
          <w:lang w:val="ru-RU"/>
        </w:rPr>
        <w:t>Всеки план е необходимо е да бъде придружен с финансова рамка по сектори за периода на плана, спрямо която да се прецени кои мерки може да останат, кои трябва да отпаднат и с какви приоритети да се изпълнява програмата.Тази финансова рамка трябва да е отразена в подчинените стратегически и програмни документи: към момента, освен отбелязаните вътрешни противоречия, малкото финансови индикатори в НЕКП не съответстват по никакъв начин на инвестиционните нужди в сградния сектор, описани в проекта за Дългосрочна национална стратегия за подпомагане обновяването на националния фонд от жилищни и нежилищни сгради (2021-2050 г.)</w:t>
      </w:r>
    </w:p>
    <w:p w:rsidR="00173C23" w:rsidRPr="008934D6" w:rsidRDefault="00173C23" w:rsidP="000F589A">
      <w:pPr>
        <w:numPr>
          <w:ilvl w:val="0"/>
          <w:numId w:val="34"/>
        </w:numPr>
        <w:spacing w:after="120"/>
        <w:jc w:val="both"/>
        <w:rPr>
          <w:lang w:val="ru-RU"/>
        </w:rPr>
      </w:pPr>
      <w:r w:rsidRPr="008934D6">
        <w:rPr>
          <w:lang w:val="ru-RU"/>
        </w:rPr>
        <w:t xml:space="preserve">Да се сложи край на порочната практика прилагана при разработване на схеми и утвърждаване на програми за енергийна ефективност в сгради да се отчитат само прогнозните спестявания на енергия, като се използват </w:t>
      </w:r>
      <w:r w:rsidRPr="008934D6">
        <w:rPr>
          <w:i/>
          <w:lang w:val="ru-RU"/>
        </w:rPr>
        <w:t>„стандартните стойности за изчисляване на спестяването на енергия в сградите“.</w:t>
      </w:r>
      <w:r w:rsidRPr="008934D6">
        <w:rPr>
          <w:lang w:val="ru-RU"/>
        </w:rPr>
        <w:t>След реализиране на всички програми за енергийна ефективност да бъдат провеждани заключителни одити, с което ще се повиши ефективността на мониторинга и оцени ефективността на инвестицията, което е един от основните недостатъци на настоящите политики.</w:t>
      </w:r>
    </w:p>
    <w:p w:rsidR="00173C23" w:rsidRPr="008934D6" w:rsidRDefault="00173C23" w:rsidP="000F589A">
      <w:pPr>
        <w:numPr>
          <w:ilvl w:val="0"/>
          <w:numId w:val="34"/>
        </w:numPr>
        <w:spacing w:after="120"/>
        <w:jc w:val="both"/>
        <w:rPr>
          <w:lang w:val="ru-RU"/>
        </w:rPr>
      </w:pPr>
      <w:r w:rsidRPr="008934D6">
        <w:rPr>
          <w:lang w:val="ru-RU"/>
        </w:rPr>
        <w:t>Ясно да се постанови обособяването на компонент „Техническа помощ“ към всяка програма в подкрепа на енергийната ефективност, която да е насочена както към преките изпълнители на предвидените мерки (в т.ч. местните администрации), така и към крайните бенефициенти, с цел подобрено разбиране на ползите от енергийната ефективност и стимулиране на частни инвестиции.</w:t>
      </w:r>
    </w:p>
    <w:p w:rsidR="00173C23" w:rsidRPr="008934D6" w:rsidRDefault="00173C23" w:rsidP="000F589A">
      <w:pPr>
        <w:numPr>
          <w:ilvl w:val="0"/>
          <w:numId w:val="34"/>
        </w:numPr>
        <w:spacing w:after="120"/>
        <w:jc w:val="both"/>
        <w:rPr>
          <w:lang w:val="ru-RU"/>
        </w:rPr>
      </w:pPr>
      <w:r w:rsidRPr="008934D6">
        <w:rPr>
          <w:lang w:val="ru-RU"/>
        </w:rPr>
        <w:t>Да се развие системата за повишаване на професионалната квалификация и компетентността на заетите в инвестиционния процес в областта на енергийната ефективност, както и да се усъвършенства системата за професионално образование и обучения.</w:t>
      </w:r>
    </w:p>
    <w:p w:rsidR="00173C23" w:rsidRDefault="00173C23" w:rsidP="000F589A">
      <w:pPr>
        <w:numPr>
          <w:ilvl w:val="0"/>
          <w:numId w:val="34"/>
        </w:numPr>
        <w:spacing w:after="120"/>
        <w:jc w:val="both"/>
        <w:rPr>
          <w:lang w:val="bg-BG"/>
        </w:rPr>
      </w:pPr>
      <w:r w:rsidRPr="008934D6">
        <w:rPr>
          <w:lang w:val="ru-RU"/>
        </w:rPr>
        <w:t xml:space="preserve">Да се направи анализ на изпълнението на действащите секторни планове и програми в областта на енергийната ефективност и на ефективността на прилагане на системата от стимули и санкции в действащото законодателство, съответно на необходимостта от промени в нормативната уредба. Да се заложи като приоритет изпълнението на задълженията на собствениците в сградния сектор по реда на ЗУЕС и недопускането на повторно отлагане на паспортизацията на съществуващите сгради, с ясни задължения относно предписаните в тях мерки и санкции при неспазването им. </w:t>
      </w:r>
    </w:p>
    <w:p w:rsidR="00173C23" w:rsidRPr="00D36131" w:rsidRDefault="00173C23" w:rsidP="000F589A">
      <w:pPr>
        <w:numPr>
          <w:ilvl w:val="0"/>
          <w:numId w:val="34"/>
        </w:numPr>
        <w:spacing w:after="120"/>
        <w:jc w:val="both"/>
        <w:rPr>
          <w:lang w:val="bg-BG"/>
        </w:rPr>
      </w:pPr>
      <w:r>
        <w:rPr>
          <w:lang w:val="bg-BG"/>
        </w:rPr>
        <w:t xml:space="preserve">Законодателят, изпълнителната власт и регулаторните органи в държавата да създадат задължителни и справедливи условия за изпълнение на отговорностите за финансиране на мерките на задължените лица по чл.14, ал.4 в Закона за енергийната ефективност. Блокираното приложение на този член поради административни абсурди спира реализацията на голям брой мерки за повишаване на енергийната ефективност основно в индустрията.  </w:t>
      </w:r>
    </w:p>
    <w:p w:rsidR="00173C23" w:rsidRDefault="00173C23" w:rsidP="00BC7C3A">
      <w:pPr>
        <w:pStyle w:val="Default"/>
        <w:spacing w:after="120"/>
        <w:ind w:firstLine="706"/>
        <w:contextualSpacing/>
        <w:rPr>
          <w:rFonts w:ascii="Times New Roman" w:hAnsi="Times New Roman" w:cs="Times New Roman"/>
          <w:color w:val="auto"/>
        </w:rPr>
      </w:pPr>
      <w:r w:rsidRPr="00EE35DD">
        <w:rPr>
          <w:rFonts w:ascii="Times New Roman" w:hAnsi="Times New Roman" w:cs="Times New Roman"/>
          <w:b/>
          <w:lang w:eastAsia="bg-BG"/>
        </w:rPr>
        <w:t xml:space="preserve">Приоритет </w:t>
      </w:r>
      <w:r>
        <w:rPr>
          <w:rFonts w:ascii="Times New Roman" w:hAnsi="Times New Roman" w:cs="Times New Roman"/>
          <w:b/>
          <w:lang w:eastAsia="bg-BG"/>
        </w:rPr>
        <w:t>2</w:t>
      </w:r>
      <w:r w:rsidRPr="00EE35DD">
        <w:rPr>
          <w:rFonts w:ascii="Times New Roman" w:hAnsi="Times New Roman" w:cs="Times New Roman"/>
          <w:b/>
          <w:lang w:eastAsia="bg-BG"/>
        </w:rPr>
        <w:t>:</w:t>
      </w:r>
      <w:r w:rsidRPr="0040583B">
        <w:rPr>
          <w:rFonts w:ascii="Times New Roman" w:hAnsi="Times New Roman" w:cs="Times New Roman"/>
          <w:lang w:eastAsia="bg-BG"/>
        </w:rPr>
        <w:t xml:space="preserve"> </w:t>
      </w:r>
      <w:r>
        <w:rPr>
          <w:rFonts w:ascii="Times New Roman" w:hAnsi="Times New Roman" w:cs="Times New Roman"/>
          <w:color w:val="auto"/>
          <w:lang w:eastAsia="bg-BG"/>
        </w:rPr>
        <w:t xml:space="preserve">При формиране на плана за развитие на генериращите мощности до 2050 г. трябва да се запази съотношението </w:t>
      </w:r>
      <w:r w:rsidRPr="00921E1A">
        <w:rPr>
          <w:rFonts w:ascii="Times New Roman" w:hAnsi="Times New Roman" w:cs="Times New Roman"/>
          <w:i/>
          <w:color w:val="auto"/>
          <w:lang w:eastAsia="bg-BG"/>
        </w:rPr>
        <w:t>инерционни генерации / генерации от възобновяеми енергийни източници</w:t>
      </w:r>
      <w:r>
        <w:rPr>
          <w:rFonts w:ascii="Times New Roman" w:hAnsi="Times New Roman" w:cs="Times New Roman"/>
          <w:i/>
          <w:color w:val="auto"/>
          <w:lang w:eastAsia="bg-BG"/>
        </w:rPr>
        <w:t xml:space="preserve">, по мнение на специалисти по системна устойчивост </w:t>
      </w:r>
      <w:r w:rsidRPr="00921E1A">
        <w:rPr>
          <w:rFonts w:ascii="Times New Roman" w:hAnsi="Times New Roman" w:cs="Times New Roman"/>
          <w:i/>
          <w:color w:val="auto"/>
          <w:lang w:eastAsia="bg-BG"/>
        </w:rPr>
        <w:t>50:50</w:t>
      </w:r>
      <w:r>
        <w:rPr>
          <w:rFonts w:ascii="Times New Roman" w:hAnsi="Times New Roman" w:cs="Times New Roman"/>
          <w:color w:val="auto"/>
          <w:lang w:eastAsia="bg-BG"/>
        </w:rPr>
        <w:t>. В групата на инерционните генерации трябва да се включи: 1)</w:t>
      </w:r>
      <w:r w:rsidRPr="008934D6">
        <w:rPr>
          <w:rFonts w:ascii="Times New Roman" w:hAnsi="Times New Roman" w:cs="Times New Roman"/>
          <w:color w:val="auto"/>
          <w:lang w:val="ru-RU" w:eastAsia="bg-BG"/>
        </w:rPr>
        <w:t xml:space="preserve"> </w:t>
      </w:r>
      <w:r>
        <w:rPr>
          <w:rFonts w:ascii="Times New Roman" w:hAnsi="Times New Roman" w:cs="Times New Roman"/>
          <w:color w:val="auto"/>
          <w:lang w:eastAsia="bg-BG"/>
        </w:rPr>
        <w:t>развитието на нова ядрена мощност, до максимален капацитет от 2000 МВт, 2) изграждане в част от ТЕЦ-овете на въглища на модерни парогазови модули в периода 2025-2030 г. с хоризонт на  експлоатация до 2050г., 3) Нови ВЕЦ на течащи води на река Дунав или другите български реки, 4) Геотермални ТЕЦ-ове с комбинирано производство, 5)ТЕЦ-ове на горска биомаса и 6) Модули за нискоемисионно енергийно оползотворяване на отпадъци чрез газификация.</w:t>
      </w:r>
      <w:r w:rsidRPr="004F3BBF">
        <w:rPr>
          <w:rFonts w:ascii="Times New Roman" w:hAnsi="Times New Roman" w:cs="Times New Roman"/>
          <w:color w:val="auto"/>
        </w:rPr>
        <w:t xml:space="preserve"> </w:t>
      </w:r>
    </w:p>
    <w:p w:rsidR="00173C23" w:rsidRDefault="00173C23" w:rsidP="00BC7C3A">
      <w:pPr>
        <w:pStyle w:val="Default"/>
        <w:spacing w:after="120"/>
        <w:ind w:firstLine="706"/>
        <w:rPr>
          <w:rFonts w:ascii="Times New Roman" w:hAnsi="Times New Roman" w:cs="Times New Roman"/>
          <w:color w:val="auto"/>
        </w:rPr>
      </w:pPr>
      <w:r>
        <w:rPr>
          <w:rFonts w:ascii="Times New Roman" w:hAnsi="Times New Roman" w:cs="Times New Roman"/>
          <w:color w:val="auto"/>
        </w:rPr>
        <w:t>В тази връзка следва още следващите години</w:t>
      </w:r>
      <w:r w:rsidRPr="008A6ECA">
        <w:rPr>
          <w:rFonts w:ascii="Times New Roman" w:hAnsi="Times New Roman" w:cs="Times New Roman"/>
          <w:color w:val="auto"/>
        </w:rPr>
        <w:t xml:space="preserve"> на площадката на АЕЦ "Колодуй" да започне </w:t>
      </w:r>
      <w:r>
        <w:rPr>
          <w:rFonts w:ascii="Times New Roman" w:hAnsi="Times New Roman" w:cs="Times New Roman"/>
          <w:color w:val="auto"/>
        </w:rPr>
        <w:t xml:space="preserve">практическата подготовка за </w:t>
      </w:r>
      <w:r w:rsidRPr="008A6ECA">
        <w:rPr>
          <w:rFonts w:ascii="Times New Roman" w:hAnsi="Times New Roman" w:cs="Times New Roman"/>
          <w:color w:val="auto"/>
        </w:rPr>
        <w:t xml:space="preserve">изграждане на </w:t>
      </w:r>
      <w:r>
        <w:rPr>
          <w:rFonts w:ascii="Times New Roman" w:hAnsi="Times New Roman" w:cs="Times New Roman"/>
          <w:color w:val="auto"/>
        </w:rPr>
        <w:t>нов 7-ми блок о</w:t>
      </w:r>
      <w:r w:rsidRPr="008A6ECA">
        <w:rPr>
          <w:rFonts w:ascii="Times New Roman" w:hAnsi="Times New Roman" w:cs="Times New Roman"/>
          <w:color w:val="auto"/>
        </w:rPr>
        <w:t>т 1 000 M</w:t>
      </w:r>
      <w:r>
        <w:rPr>
          <w:rFonts w:ascii="Times New Roman" w:hAnsi="Times New Roman" w:cs="Times New Roman"/>
          <w:color w:val="auto"/>
        </w:rPr>
        <w:t>Вт</w:t>
      </w:r>
      <w:r w:rsidRPr="008A6ECA">
        <w:rPr>
          <w:rFonts w:ascii="Times New Roman" w:hAnsi="Times New Roman" w:cs="Times New Roman"/>
          <w:color w:val="auto"/>
        </w:rPr>
        <w:t>, а сл</w:t>
      </w:r>
      <w:r>
        <w:rPr>
          <w:rFonts w:ascii="Times New Roman" w:hAnsi="Times New Roman" w:cs="Times New Roman"/>
          <w:color w:val="auto"/>
        </w:rPr>
        <w:t>ед влизането му в експлоатация</w:t>
      </w:r>
      <w:r w:rsidRPr="008A6ECA">
        <w:rPr>
          <w:rFonts w:ascii="Times New Roman" w:hAnsi="Times New Roman" w:cs="Times New Roman"/>
          <w:color w:val="auto"/>
        </w:rPr>
        <w:t xml:space="preserve"> да се оцени изграждане</w:t>
      </w:r>
      <w:r>
        <w:rPr>
          <w:rFonts w:ascii="Times New Roman" w:hAnsi="Times New Roman" w:cs="Times New Roman"/>
          <w:color w:val="auto"/>
        </w:rPr>
        <w:t xml:space="preserve">то </w:t>
      </w:r>
      <w:r w:rsidRPr="008A6ECA">
        <w:rPr>
          <w:rFonts w:ascii="Times New Roman" w:hAnsi="Times New Roman" w:cs="Times New Roman"/>
          <w:color w:val="auto"/>
        </w:rPr>
        <w:t>и на 8-ми блок</w:t>
      </w:r>
      <w:r>
        <w:rPr>
          <w:rFonts w:ascii="Times New Roman" w:hAnsi="Times New Roman" w:cs="Times New Roman"/>
          <w:color w:val="auto"/>
        </w:rPr>
        <w:t>, като заместващи мощности на блокове 5 и 6</w:t>
      </w:r>
      <w:r w:rsidRPr="008A6ECA">
        <w:rPr>
          <w:rFonts w:ascii="Times New Roman" w:hAnsi="Times New Roman" w:cs="Times New Roman"/>
          <w:color w:val="auto"/>
        </w:rPr>
        <w:t xml:space="preserve">. </w:t>
      </w:r>
      <w:r>
        <w:rPr>
          <w:rFonts w:ascii="Times New Roman" w:hAnsi="Times New Roman" w:cs="Times New Roman"/>
          <w:color w:val="auto"/>
        </w:rPr>
        <w:t>По мнение на експерти, площадката на</w:t>
      </w:r>
      <w:r w:rsidRPr="008A6ECA">
        <w:rPr>
          <w:rFonts w:ascii="Times New Roman" w:hAnsi="Times New Roman" w:cs="Times New Roman"/>
          <w:color w:val="auto"/>
        </w:rPr>
        <w:t xml:space="preserve"> АЕЦ "Белене" </w:t>
      </w:r>
      <w:r>
        <w:rPr>
          <w:rFonts w:ascii="Times New Roman" w:hAnsi="Times New Roman" w:cs="Times New Roman"/>
          <w:color w:val="auto"/>
        </w:rPr>
        <w:t xml:space="preserve">може да бъде използвана </w:t>
      </w:r>
      <w:r w:rsidRPr="008A6ECA">
        <w:rPr>
          <w:rFonts w:ascii="Times New Roman" w:hAnsi="Times New Roman" w:cs="Times New Roman"/>
          <w:color w:val="auto"/>
        </w:rPr>
        <w:t>за изграждане на друга модерна балансираща енергийна мощност - върхова или подвърхова, чиято мощност ще се определи според развитието на българската икономика и електрическа система.</w:t>
      </w:r>
    </w:p>
    <w:p w:rsidR="00173C23" w:rsidRPr="00916775" w:rsidRDefault="00173C23" w:rsidP="00BC7C3A">
      <w:pPr>
        <w:pStyle w:val="Default"/>
        <w:spacing w:after="120"/>
        <w:ind w:firstLine="706"/>
        <w:rPr>
          <w:rFonts w:ascii="Times New Roman" w:hAnsi="Times New Roman" w:cs="Times New Roman"/>
          <w:color w:val="auto"/>
        </w:rPr>
      </w:pPr>
      <w:r>
        <w:rPr>
          <w:rFonts w:ascii="Times New Roman" w:hAnsi="Times New Roman" w:cs="Times New Roman"/>
          <w:color w:val="auto"/>
        </w:rPr>
        <w:t>В този приоритет, задачата на задачите е спешно разработване и реализация на програма за подготовка на специализирани кадри за тези обекти, което не търпи отлагане.</w:t>
      </w:r>
      <w:r w:rsidRPr="008A6ECA">
        <w:rPr>
          <w:rFonts w:ascii="Times New Roman" w:hAnsi="Times New Roman" w:cs="Times New Roman"/>
          <w:color w:val="auto"/>
        </w:rPr>
        <w:t xml:space="preserve"> </w:t>
      </w:r>
    </w:p>
    <w:p w:rsidR="00173C23" w:rsidRDefault="00173C23" w:rsidP="00BC7C3A">
      <w:pPr>
        <w:pStyle w:val="Default"/>
        <w:spacing w:after="120"/>
        <w:ind w:firstLine="720"/>
        <w:rPr>
          <w:rFonts w:ascii="Times New Roman" w:hAnsi="Times New Roman" w:cs="Times New Roman"/>
          <w:color w:val="auto"/>
          <w:lang w:eastAsia="bg-BG"/>
        </w:rPr>
      </w:pPr>
      <w:r w:rsidRPr="00EE35DD">
        <w:rPr>
          <w:rFonts w:ascii="Times New Roman" w:hAnsi="Times New Roman" w:cs="Times New Roman"/>
          <w:b/>
          <w:color w:val="auto"/>
          <w:lang w:eastAsia="bg-BG"/>
        </w:rPr>
        <w:t xml:space="preserve">Приоритет </w:t>
      </w:r>
      <w:r>
        <w:rPr>
          <w:rFonts w:ascii="Times New Roman" w:hAnsi="Times New Roman" w:cs="Times New Roman"/>
          <w:b/>
          <w:color w:val="auto"/>
          <w:lang w:eastAsia="bg-BG"/>
        </w:rPr>
        <w:t>3</w:t>
      </w:r>
      <w:r>
        <w:rPr>
          <w:rFonts w:ascii="Times New Roman" w:hAnsi="Times New Roman" w:cs="Times New Roman"/>
          <w:color w:val="auto"/>
          <w:lang w:eastAsia="bg-BG"/>
        </w:rPr>
        <w:t>: Отказ от п</w:t>
      </w:r>
      <w:r w:rsidRPr="00CF5DC9">
        <w:rPr>
          <w:rFonts w:ascii="Times New Roman" w:hAnsi="Times New Roman" w:cs="Times New Roman"/>
          <w:color w:val="auto"/>
          <w:lang w:eastAsia="bg-BG"/>
        </w:rPr>
        <w:t>родължава</w:t>
      </w:r>
      <w:r>
        <w:rPr>
          <w:rFonts w:ascii="Times New Roman" w:hAnsi="Times New Roman" w:cs="Times New Roman"/>
          <w:color w:val="auto"/>
          <w:lang w:eastAsia="bg-BG"/>
        </w:rPr>
        <w:t>щата дълги години практика</w:t>
      </w:r>
      <w:r w:rsidRPr="00CF5DC9">
        <w:rPr>
          <w:rFonts w:ascii="Times New Roman" w:hAnsi="Times New Roman" w:cs="Times New Roman"/>
          <w:color w:val="auto"/>
          <w:lang w:eastAsia="bg-BG"/>
        </w:rPr>
        <w:t xml:space="preserve"> в държавната енергийна политика да </w:t>
      </w:r>
      <w:r>
        <w:rPr>
          <w:rFonts w:ascii="Times New Roman" w:hAnsi="Times New Roman" w:cs="Times New Roman"/>
          <w:color w:val="auto"/>
          <w:lang w:eastAsia="bg-BG"/>
        </w:rPr>
        <w:t xml:space="preserve">се </w:t>
      </w:r>
      <w:r w:rsidRPr="00CF5DC9">
        <w:rPr>
          <w:rFonts w:ascii="Times New Roman" w:hAnsi="Times New Roman" w:cs="Times New Roman"/>
          <w:color w:val="auto"/>
          <w:lang w:eastAsia="bg-BG"/>
        </w:rPr>
        <w:t xml:space="preserve">търсят решения за поддържане </w:t>
      </w:r>
      <w:r>
        <w:rPr>
          <w:rFonts w:ascii="Times New Roman" w:hAnsi="Times New Roman" w:cs="Times New Roman"/>
          <w:color w:val="auto"/>
          <w:lang w:eastAsia="bg-BG"/>
        </w:rPr>
        <w:t xml:space="preserve">единствено </w:t>
      </w:r>
      <w:r w:rsidRPr="00CF5DC9">
        <w:rPr>
          <w:rFonts w:ascii="Times New Roman" w:hAnsi="Times New Roman" w:cs="Times New Roman"/>
          <w:color w:val="auto"/>
          <w:lang w:eastAsia="bg-BG"/>
        </w:rPr>
        <w:t xml:space="preserve">на централизирани системи за производство на енергия със съмнителен икономически ефект и се ограничават политиките в подкрепа на децентрализираното развитие на </w:t>
      </w:r>
      <w:r>
        <w:rPr>
          <w:rFonts w:ascii="Times New Roman" w:hAnsi="Times New Roman" w:cs="Times New Roman"/>
          <w:color w:val="auto"/>
          <w:lang w:eastAsia="bg-BG"/>
        </w:rPr>
        <w:t xml:space="preserve">регионално и </w:t>
      </w:r>
      <w:r w:rsidRPr="00CF5DC9">
        <w:rPr>
          <w:rFonts w:ascii="Times New Roman" w:hAnsi="Times New Roman" w:cs="Times New Roman"/>
          <w:color w:val="auto"/>
          <w:lang w:eastAsia="bg-BG"/>
        </w:rPr>
        <w:t xml:space="preserve">общинско ниво. </w:t>
      </w:r>
    </w:p>
    <w:p w:rsidR="00173C23" w:rsidRPr="008A6ECA" w:rsidRDefault="00173C23" w:rsidP="00BC7C3A">
      <w:pPr>
        <w:pStyle w:val="PlainText"/>
        <w:spacing w:after="120"/>
        <w:ind w:firstLine="720"/>
        <w:rPr>
          <w:rFonts w:ascii="Times New Roman" w:hAnsi="Times New Roman" w:cs="Times New Roman"/>
          <w:sz w:val="24"/>
          <w:szCs w:val="24"/>
        </w:rPr>
      </w:pPr>
      <w:r>
        <w:rPr>
          <w:rFonts w:ascii="Times New Roman" w:hAnsi="Times New Roman" w:cs="Times New Roman"/>
          <w:sz w:val="24"/>
          <w:szCs w:val="24"/>
        </w:rPr>
        <w:t>Европейски приоритет е да с</w:t>
      </w:r>
      <w:r w:rsidRPr="008A6ECA">
        <w:rPr>
          <w:rFonts w:ascii="Times New Roman" w:hAnsi="Times New Roman" w:cs="Times New Roman"/>
          <w:sz w:val="24"/>
          <w:szCs w:val="24"/>
        </w:rPr>
        <w:t xml:space="preserve">е подкрепят общини, </w:t>
      </w:r>
      <w:r>
        <w:rPr>
          <w:rFonts w:ascii="Times New Roman" w:hAnsi="Times New Roman" w:cs="Times New Roman"/>
          <w:sz w:val="24"/>
          <w:szCs w:val="24"/>
        </w:rPr>
        <w:t xml:space="preserve">и това трябва да намери отражение в Плана, </w:t>
      </w:r>
      <w:r w:rsidRPr="008A6ECA">
        <w:rPr>
          <w:rFonts w:ascii="Times New Roman" w:hAnsi="Times New Roman" w:cs="Times New Roman"/>
          <w:sz w:val="24"/>
          <w:szCs w:val="24"/>
        </w:rPr>
        <w:t xml:space="preserve">които </w:t>
      </w:r>
      <w:r>
        <w:rPr>
          <w:rFonts w:ascii="Times New Roman" w:hAnsi="Times New Roman" w:cs="Times New Roman"/>
          <w:sz w:val="24"/>
          <w:szCs w:val="24"/>
        </w:rPr>
        <w:t xml:space="preserve">по модела на енергийни кооперации </w:t>
      </w:r>
      <w:r w:rsidRPr="008A6ECA">
        <w:rPr>
          <w:rFonts w:ascii="Times New Roman" w:hAnsi="Times New Roman" w:cs="Times New Roman"/>
          <w:sz w:val="24"/>
          <w:szCs w:val="24"/>
        </w:rPr>
        <w:t xml:space="preserve">могат да </w:t>
      </w:r>
      <w:r>
        <w:rPr>
          <w:rFonts w:ascii="Times New Roman" w:hAnsi="Times New Roman" w:cs="Times New Roman"/>
          <w:sz w:val="24"/>
          <w:szCs w:val="24"/>
        </w:rPr>
        <w:t xml:space="preserve">привличат финансиране за изграждане </w:t>
      </w:r>
      <w:r w:rsidRPr="008A6ECA">
        <w:rPr>
          <w:rFonts w:ascii="Times New Roman" w:hAnsi="Times New Roman" w:cs="Times New Roman"/>
          <w:sz w:val="24"/>
          <w:szCs w:val="24"/>
        </w:rPr>
        <w:t xml:space="preserve">на локални системи за </w:t>
      </w:r>
      <w:r>
        <w:rPr>
          <w:rFonts w:ascii="Times New Roman" w:hAnsi="Times New Roman" w:cs="Times New Roman"/>
          <w:sz w:val="24"/>
          <w:szCs w:val="24"/>
        </w:rPr>
        <w:t xml:space="preserve">ко-генерация </w:t>
      </w:r>
      <w:r w:rsidRPr="008A6ECA">
        <w:rPr>
          <w:rFonts w:ascii="Times New Roman" w:hAnsi="Times New Roman" w:cs="Times New Roman"/>
          <w:sz w:val="24"/>
          <w:szCs w:val="24"/>
        </w:rPr>
        <w:t xml:space="preserve">на енергия - електрическа и топлинна - и нейното използване </w:t>
      </w:r>
      <w:r>
        <w:rPr>
          <w:rFonts w:ascii="Times New Roman" w:hAnsi="Times New Roman" w:cs="Times New Roman"/>
          <w:sz w:val="24"/>
          <w:szCs w:val="24"/>
        </w:rPr>
        <w:t xml:space="preserve">за </w:t>
      </w:r>
      <w:r w:rsidRPr="008A6ECA">
        <w:rPr>
          <w:rFonts w:ascii="Times New Roman" w:hAnsi="Times New Roman" w:cs="Times New Roman"/>
          <w:sz w:val="24"/>
          <w:szCs w:val="24"/>
        </w:rPr>
        <w:t>отопление и охлаждане</w:t>
      </w:r>
      <w:r>
        <w:rPr>
          <w:rFonts w:ascii="Times New Roman" w:hAnsi="Times New Roman" w:cs="Times New Roman"/>
          <w:sz w:val="24"/>
          <w:szCs w:val="24"/>
        </w:rPr>
        <w:t xml:space="preserve"> </w:t>
      </w:r>
      <w:r w:rsidRPr="008A6ECA">
        <w:rPr>
          <w:rFonts w:ascii="Times New Roman" w:hAnsi="Times New Roman" w:cs="Times New Roman"/>
          <w:sz w:val="24"/>
          <w:szCs w:val="24"/>
        </w:rPr>
        <w:t xml:space="preserve">на общински </w:t>
      </w:r>
      <w:r>
        <w:rPr>
          <w:rFonts w:ascii="Times New Roman" w:hAnsi="Times New Roman" w:cs="Times New Roman"/>
          <w:sz w:val="24"/>
          <w:szCs w:val="24"/>
        </w:rPr>
        <w:t xml:space="preserve">и битови </w:t>
      </w:r>
      <w:r w:rsidRPr="008A6ECA">
        <w:rPr>
          <w:rFonts w:ascii="Times New Roman" w:hAnsi="Times New Roman" w:cs="Times New Roman"/>
          <w:sz w:val="24"/>
          <w:szCs w:val="24"/>
        </w:rPr>
        <w:t xml:space="preserve">консуматори.  </w:t>
      </w:r>
    </w:p>
    <w:p w:rsidR="00173C23" w:rsidRPr="008A6ECA" w:rsidRDefault="00173C23" w:rsidP="00BC7C3A">
      <w:pPr>
        <w:pStyle w:val="Default"/>
        <w:spacing w:after="120"/>
        <w:ind w:firstLine="720"/>
        <w:rPr>
          <w:rFonts w:ascii="Times New Roman" w:hAnsi="Times New Roman" w:cs="Times New Roman"/>
          <w:color w:val="auto"/>
          <w:lang w:eastAsia="bg-BG"/>
        </w:rPr>
      </w:pPr>
      <w:r w:rsidRPr="008A6ECA">
        <w:rPr>
          <w:rFonts w:ascii="Times New Roman" w:hAnsi="Times New Roman" w:cs="Times New Roman"/>
          <w:color w:val="auto"/>
        </w:rPr>
        <w:t xml:space="preserve">Произведената и използвана локално енергия ще допринесе за намаляване на енергийните разходи на общините и </w:t>
      </w:r>
      <w:r>
        <w:rPr>
          <w:rFonts w:ascii="Times New Roman" w:hAnsi="Times New Roman" w:cs="Times New Roman"/>
          <w:color w:val="auto"/>
        </w:rPr>
        <w:t xml:space="preserve">така </w:t>
      </w:r>
      <w:r w:rsidRPr="008A6ECA">
        <w:rPr>
          <w:rFonts w:ascii="Times New Roman" w:hAnsi="Times New Roman" w:cs="Times New Roman"/>
          <w:color w:val="auto"/>
        </w:rPr>
        <w:t xml:space="preserve">ще </w:t>
      </w:r>
      <w:r>
        <w:rPr>
          <w:rFonts w:ascii="Times New Roman" w:hAnsi="Times New Roman" w:cs="Times New Roman"/>
          <w:color w:val="auto"/>
        </w:rPr>
        <w:t xml:space="preserve">бъде постигната в значителна степен </w:t>
      </w:r>
      <w:r w:rsidRPr="008A6ECA">
        <w:rPr>
          <w:rFonts w:ascii="Times New Roman" w:hAnsi="Times New Roman" w:cs="Times New Roman"/>
          <w:color w:val="auto"/>
        </w:rPr>
        <w:t>енергийна</w:t>
      </w:r>
      <w:r>
        <w:rPr>
          <w:rFonts w:ascii="Times New Roman" w:hAnsi="Times New Roman" w:cs="Times New Roman"/>
          <w:color w:val="auto"/>
        </w:rPr>
        <w:t>та им</w:t>
      </w:r>
      <w:r w:rsidRPr="008A6ECA">
        <w:rPr>
          <w:rFonts w:ascii="Times New Roman" w:hAnsi="Times New Roman" w:cs="Times New Roman"/>
          <w:color w:val="auto"/>
        </w:rPr>
        <w:t xml:space="preserve"> независимост. Комплексен подход за интегрирано управление на общинските ресурси може да се реализира </w:t>
      </w:r>
      <w:r>
        <w:rPr>
          <w:rFonts w:ascii="Times New Roman" w:hAnsi="Times New Roman" w:cs="Times New Roman"/>
          <w:color w:val="auto"/>
        </w:rPr>
        <w:t xml:space="preserve">и </w:t>
      </w:r>
      <w:r w:rsidRPr="008A6ECA">
        <w:rPr>
          <w:rFonts w:ascii="Times New Roman" w:hAnsi="Times New Roman" w:cs="Times New Roman"/>
          <w:color w:val="auto"/>
        </w:rPr>
        <w:t>с изграждане на оператив</w:t>
      </w:r>
      <w:r>
        <w:rPr>
          <w:rFonts w:ascii="Times New Roman" w:hAnsi="Times New Roman" w:cs="Times New Roman"/>
          <w:color w:val="auto"/>
        </w:rPr>
        <w:t>ни „</w:t>
      </w:r>
      <w:r w:rsidRPr="008A6ECA">
        <w:rPr>
          <w:rFonts w:ascii="Times New Roman" w:hAnsi="Times New Roman" w:cs="Times New Roman"/>
          <w:color w:val="auto"/>
        </w:rPr>
        <w:t>Комунал</w:t>
      </w:r>
      <w:r>
        <w:rPr>
          <w:rFonts w:ascii="Times New Roman" w:hAnsi="Times New Roman" w:cs="Times New Roman"/>
          <w:color w:val="auto"/>
        </w:rPr>
        <w:t>ни  к</w:t>
      </w:r>
      <w:r w:rsidRPr="008A6ECA">
        <w:rPr>
          <w:rFonts w:ascii="Times New Roman" w:hAnsi="Times New Roman" w:cs="Times New Roman"/>
          <w:color w:val="auto"/>
        </w:rPr>
        <w:t>лъстър</w:t>
      </w:r>
      <w:r>
        <w:rPr>
          <w:rFonts w:ascii="Times New Roman" w:hAnsi="Times New Roman" w:cs="Times New Roman"/>
          <w:color w:val="auto"/>
        </w:rPr>
        <w:t>и”</w:t>
      </w:r>
      <w:r w:rsidRPr="008A6ECA">
        <w:rPr>
          <w:rFonts w:ascii="Times New Roman" w:hAnsi="Times New Roman" w:cs="Times New Roman"/>
          <w:color w:val="auto"/>
        </w:rPr>
        <w:t xml:space="preserve"> с участие на структурите, имащи отношение към енергията и околната среда</w:t>
      </w:r>
      <w:r>
        <w:rPr>
          <w:rFonts w:ascii="Times New Roman" w:hAnsi="Times New Roman" w:cs="Times New Roman"/>
          <w:color w:val="auto"/>
        </w:rPr>
        <w:t>.</w:t>
      </w:r>
      <w:r w:rsidRPr="0040583B">
        <w:rPr>
          <w:rFonts w:ascii="Times New Roman" w:hAnsi="Times New Roman" w:cs="Times New Roman"/>
          <w:color w:val="auto"/>
        </w:rPr>
        <w:t xml:space="preserve"> </w:t>
      </w:r>
      <w:r w:rsidRPr="008A6ECA">
        <w:rPr>
          <w:rFonts w:ascii="Times New Roman" w:hAnsi="Times New Roman" w:cs="Times New Roman"/>
          <w:color w:val="auto"/>
        </w:rPr>
        <w:t>Реализирането на проектите може да бъде от общински структури или с публично-частно партньорство.</w:t>
      </w:r>
    </w:p>
    <w:p w:rsidR="00173C23" w:rsidRPr="006A1710" w:rsidRDefault="00173C23" w:rsidP="00C446FB">
      <w:pPr>
        <w:pStyle w:val="Default"/>
        <w:spacing w:after="120"/>
        <w:ind w:firstLine="720"/>
        <w:rPr>
          <w:rFonts w:ascii="Times New Roman" w:hAnsi="Times New Roman" w:cs="Times New Roman"/>
          <w:color w:val="auto"/>
          <w:lang w:eastAsia="bg-BG"/>
        </w:rPr>
      </w:pPr>
      <w:r w:rsidRPr="00EE35DD">
        <w:rPr>
          <w:rFonts w:ascii="Times New Roman" w:hAnsi="Times New Roman" w:cs="Times New Roman"/>
          <w:b/>
          <w:color w:val="auto"/>
          <w:lang w:eastAsia="bg-BG"/>
        </w:rPr>
        <w:t xml:space="preserve">Приоритет </w:t>
      </w:r>
      <w:r>
        <w:rPr>
          <w:rFonts w:ascii="Times New Roman" w:hAnsi="Times New Roman" w:cs="Times New Roman"/>
          <w:b/>
          <w:color w:val="auto"/>
          <w:lang w:eastAsia="bg-BG"/>
        </w:rPr>
        <w:t>4</w:t>
      </w:r>
      <w:r>
        <w:rPr>
          <w:rFonts w:ascii="Times New Roman" w:hAnsi="Times New Roman" w:cs="Times New Roman"/>
          <w:color w:val="auto"/>
          <w:lang w:eastAsia="bg-BG"/>
        </w:rPr>
        <w:t xml:space="preserve">: Ново технологично развитие на </w:t>
      </w:r>
      <w:r w:rsidRPr="008A6ECA">
        <w:rPr>
          <w:rFonts w:ascii="Times New Roman" w:hAnsi="Times New Roman" w:cs="Times New Roman"/>
          <w:color w:val="auto"/>
          <w:lang w:eastAsia="bg-BG"/>
        </w:rPr>
        <w:t xml:space="preserve">енергийния комплекс Марица изток </w:t>
      </w:r>
      <w:r>
        <w:rPr>
          <w:rFonts w:ascii="Times New Roman" w:hAnsi="Times New Roman" w:cs="Times New Roman"/>
          <w:color w:val="auto"/>
          <w:lang w:eastAsia="bg-BG"/>
        </w:rPr>
        <w:t xml:space="preserve">чрез изграждане 2 или 3 парогазови блокове с единични мощности 600-800 МВт в съществуващите ТЕЦ по модела </w:t>
      </w:r>
      <w:r>
        <w:rPr>
          <w:rFonts w:ascii="Times New Roman" w:hAnsi="Times New Roman" w:cs="Times New Roman"/>
          <w:color w:val="auto"/>
          <w:lang w:val="en-US" w:eastAsia="bg-BG"/>
        </w:rPr>
        <w:t>CFD</w:t>
      </w:r>
      <w:r>
        <w:rPr>
          <w:rFonts w:ascii="Times New Roman" w:hAnsi="Times New Roman" w:cs="Times New Roman"/>
          <w:color w:val="auto"/>
          <w:lang w:eastAsia="bg-BG"/>
        </w:rPr>
        <w:t>,</w:t>
      </w:r>
      <w:r w:rsidRPr="008934D6">
        <w:rPr>
          <w:rFonts w:ascii="Times New Roman" w:hAnsi="Times New Roman" w:cs="Times New Roman"/>
          <w:color w:val="auto"/>
          <w:lang w:val="ru-RU" w:eastAsia="bg-BG"/>
        </w:rPr>
        <w:t xml:space="preserve"> </w:t>
      </w:r>
      <w:r>
        <w:rPr>
          <w:rFonts w:ascii="Times New Roman" w:hAnsi="Times New Roman" w:cs="Times New Roman"/>
          <w:color w:val="auto"/>
          <w:lang w:eastAsia="bg-BG"/>
        </w:rPr>
        <w:t>с което ще бъде осигурена конкурентноспособността на комплекса в преходния период до 2050 година, ще</w:t>
      </w:r>
      <w:r w:rsidRPr="00912C97">
        <w:rPr>
          <w:rFonts w:ascii="Times New Roman" w:hAnsi="Times New Roman" w:cs="Times New Roman"/>
          <w:color w:val="auto"/>
          <w:lang w:eastAsia="bg-BG"/>
        </w:rPr>
        <w:t xml:space="preserve"> </w:t>
      </w:r>
      <w:r w:rsidRPr="008A6ECA">
        <w:rPr>
          <w:rFonts w:ascii="Times New Roman" w:hAnsi="Times New Roman" w:cs="Times New Roman"/>
          <w:color w:val="auto"/>
          <w:lang w:eastAsia="bg-BG"/>
        </w:rPr>
        <w:t>се запази и използва създадената енергийна инфраструктура и квалифициран персонал.</w:t>
      </w:r>
      <w:r>
        <w:rPr>
          <w:rFonts w:ascii="Times New Roman" w:hAnsi="Times New Roman" w:cs="Times New Roman"/>
          <w:color w:val="auto"/>
          <w:lang w:eastAsia="bg-BG"/>
        </w:rPr>
        <w:t xml:space="preserve"> Редица други съпътсващи проекти в този регион могат да бъдат финансирани като нови ВЕИ-производства куплирани с инсталации за производство на водород, залесяване на табаните на мините с бързорастяща енергийна дървесина и изгарянето й в нови ТЕЦ на биомаса. По този начин в значителна степен може да бъде осигурена ангажираност на освободения от закритите мини персонал. </w:t>
      </w:r>
    </w:p>
    <w:p w:rsidR="00173C23" w:rsidRDefault="00173C23" w:rsidP="00C446FB">
      <w:pPr>
        <w:pStyle w:val="Default"/>
        <w:spacing w:after="120"/>
        <w:ind w:firstLine="720"/>
        <w:rPr>
          <w:rFonts w:ascii="Times New Roman" w:hAnsi="Times New Roman" w:cs="Times New Roman"/>
          <w:color w:val="auto"/>
          <w:lang w:eastAsia="bg-BG"/>
        </w:rPr>
      </w:pPr>
      <w:r w:rsidRPr="00EE35DD">
        <w:rPr>
          <w:rFonts w:ascii="Times New Roman" w:hAnsi="Times New Roman" w:cs="Times New Roman"/>
          <w:b/>
          <w:color w:val="auto"/>
          <w:lang w:eastAsia="bg-BG"/>
        </w:rPr>
        <w:t xml:space="preserve">Приоритет </w:t>
      </w:r>
      <w:r>
        <w:rPr>
          <w:rFonts w:ascii="Times New Roman" w:hAnsi="Times New Roman" w:cs="Times New Roman"/>
          <w:b/>
          <w:color w:val="auto"/>
          <w:lang w:eastAsia="bg-BG"/>
        </w:rPr>
        <w:t>5</w:t>
      </w:r>
      <w:r w:rsidRPr="00EE35DD">
        <w:rPr>
          <w:rFonts w:ascii="Times New Roman" w:hAnsi="Times New Roman" w:cs="Times New Roman"/>
          <w:b/>
          <w:color w:val="auto"/>
          <w:lang w:eastAsia="bg-BG"/>
        </w:rPr>
        <w:t>:</w:t>
      </w:r>
      <w:r>
        <w:rPr>
          <w:rFonts w:ascii="Times New Roman" w:hAnsi="Times New Roman" w:cs="Times New Roman"/>
          <w:color w:val="auto"/>
          <w:lang w:eastAsia="bg-BG"/>
        </w:rPr>
        <w:t xml:space="preserve"> Поетапно реализиране на политиката за създаване на просюмъри: Стимулиране на </w:t>
      </w:r>
      <w:r w:rsidRPr="008A6ECA">
        <w:rPr>
          <w:rFonts w:ascii="Times New Roman" w:hAnsi="Times New Roman" w:cs="Times New Roman"/>
          <w:color w:val="auto"/>
          <w:lang w:eastAsia="bg-BG"/>
        </w:rPr>
        <w:t xml:space="preserve">развитието на </w:t>
      </w:r>
      <w:r>
        <w:rPr>
          <w:rFonts w:ascii="Times New Roman" w:hAnsi="Times New Roman" w:cs="Times New Roman"/>
          <w:color w:val="auto"/>
          <w:lang w:eastAsia="bg-BG"/>
        </w:rPr>
        <w:t xml:space="preserve">производството и </w:t>
      </w:r>
      <w:r w:rsidRPr="008A6ECA">
        <w:rPr>
          <w:rFonts w:ascii="Times New Roman" w:hAnsi="Times New Roman" w:cs="Times New Roman"/>
          <w:color w:val="auto"/>
          <w:lang w:eastAsia="bg-BG"/>
        </w:rPr>
        <w:t>потреблението на собствена електрическа енергия от В</w:t>
      </w:r>
      <w:r>
        <w:rPr>
          <w:rFonts w:ascii="Times New Roman" w:hAnsi="Times New Roman" w:cs="Times New Roman"/>
          <w:color w:val="auto"/>
          <w:lang w:eastAsia="bg-BG"/>
        </w:rPr>
        <w:t>Е</w:t>
      </w:r>
      <w:r w:rsidRPr="008A6ECA">
        <w:rPr>
          <w:rFonts w:ascii="Times New Roman" w:hAnsi="Times New Roman" w:cs="Times New Roman"/>
          <w:color w:val="auto"/>
          <w:lang w:eastAsia="bg-BG"/>
        </w:rPr>
        <w:t>И и създаване на общности</w:t>
      </w:r>
      <w:r>
        <w:rPr>
          <w:rFonts w:ascii="Times New Roman" w:hAnsi="Times New Roman" w:cs="Times New Roman"/>
          <w:color w:val="auto"/>
          <w:lang w:eastAsia="bg-BG"/>
        </w:rPr>
        <w:t xml:space="preserve"> („енергийни кооперативи”)</w:t>
      </w:r>
      <w:r w:rsidRPr="008A6ECA">
        <w:rPr>
          <w:rFonts w:ascii="Times New Roman" w:hAnsi="Times New Roman" w:cs="Times New Roman"/>
          <w:color w:val="auto"/>
          <w:lang w:eastAsia="bg-BG"/>
        </w:rPr>
        <w:t xml:space="preserve"> за възобновяема енергия</w:t>
      </w:r>
      <w:r>
        <w:rPr>
          <w:rFonts w:ascii="Times New Roman" w:hAnsi="Times New Roman" w:cs="Times New Roman"/>
          <w:color w:val="auto"/>
          <w:lang w:eastAsia="bg-BG"/>
        </w:rPr>
        <w:t>. В тази връзка инициативата „Зелени покриви” за съфининсиране на индивидуални проекти за производство на енергия от ВЕИ, съфинансирана от държавата и с участието на лични средства на гражданите ще стимулира икономическия растеж и ще допринесе за чиста околна среда.</w:t>
      </w:r>
    </w:p>
    <w:p w:rsidR="00173C23" w:rsidRPr="008A6ECA" w:rsidRDefault="00173C23" w:rsidP="00C446FB">
      <w:pPr>
        <w:pStyle w:val="Default"/>
        <w:spacing w:after="120"/>
        <w:ind w:firstLine="720"/>
        <w:rPr>
          <w:rFonts w:ascii="Times New Roman" w:hAnsi="Times New Roman" w:cs="Times New Roman"/>
          <w:color w:val="auto"/>
          <w:lang w:eastAsia="bg-BG"/>
        </w:rPr>
      </w:pPr>
      <w:r>
        <w:rPr>
          <w:rFonts w:ascii="Times New Roman" w:hAnsi="Times New Roman" w:cs="Times New Roman"/>
          <w:color w:val="auto"/>
          <w:lang w:eastAsia="bg-BG"/>
        </w:rPr>
        <w:t xml:space="preserve">Изграждането на средни и големи ВЕИ–проекти трябва да следва принципите: да бъдат разпределени равномерно по региони, за всеки регион да има предварително определена квота по вид генерация и за всеки проект да бъде обявяван търг с условия – производствена цена на енергията и други системни условия, ако има такива.   </w:t>
      </w:r>
    </w:p>
    <w:p w:rsidR="00173C23" w:rsidRPr="008934D6" w:rsidRDefault="00173C23" w:rsidP="00C446FB">
      <w:pPr>
        <w:pStyle w:val="Default"/>
        <w:spacing w:after="120"/>
        <w:ind w:firstLine="720"/>
        <w:rPr>
          <w:rFonts w:ascii="Times New Roman" w:hAnsi="Times New Roman" w:cs="Times New Roman"/>
          <w:b/>
          <w:color w:val="auto"/>
          <w:lang w:val="ru-RU" w:eastAsia="bg-BG"/>
        </w:rPr>
      </w:pPr>
      <w:r w:rsidRPr="00EE35DD">
        <w:rPr>
          <w:rFonts w:ascii="Times New Roman" w:hAnsi="Times New Roman" w:cs="Times New Roman"/>
          <w:b/>
          <w:color w:val="auto"/>
          <w:lang w:eastAsia="bg-BG"/>
        </w:rPr>
        <w:t xml:space="preserve">Приоритет </w:t>
      </w:r>
      <w:r>
        <w:rPr>
          <w:rFonts w:ascii="Times New Roman" w:hAnsi="Times New Roman" w:cs="Times New Roman"/>
          <w:b/>
          <w:color w:val="auto"/>
          <w:lang w:eastAsia="bg-BG"/>
        </w:rPr>
        <w:t>6</w:t>
      </w:r>
      <w:r w:rsidRPr="00EE35DD">
        <w:rPr>
          <w:rFonts w:ascii="Times New Roman" w:hAnsi="Times New Roman" w:cs="Times New Roman"/>
          <w:b/>
          <w:color w:val="auto"/>
          <w:lang w:eastAsia="bg-BG"/>
        </w:rPr>
        <w:t>:</w:t>
      </w:r>
      <w:r>
        <w:rPr>
          <w:rFonts w:ascii="Times New Roman" w:hAnsi="Times New Roman" w:cs="Times New Roman"/>
          <w:color w:val="auto"/>
          <w:lang w:eastAsia="bg-BG"/>
        </w:rPr>
        <w:t xml:space="preserve"> Р</w:t>
      </w:r>
      <w:r w:rsidRPr="008A6ECA">
        <w:rPr>
          <w:rFonts w:ascii="Times New Roman" w:hAnsi="Times New Roman" w:cs="Times New Roman"/>
          <w:color w:val="auto"/>
          <w:lang w:eastAsia="bg-BG"/>
        </w:rPr>
        <w:t xml:space="preserve">азвитие на </w:t>
      </w:r>
      <w:r>
        <w:rPr>
          <w:rFonts w:ascii="Times New Roman" w:hAnsi="Times New Roman" w:cs="Times New Roman"/>
          <w:color w:val="auto"/>
          <w:lang w:eastAsia="bg-BG"/>
        </w:rPr>
        <w:t xml:space="preserve">парогазови модули за комбинирано производство на електроенергия и топлина </w:t>
      </w:r>
      <w:r w:rsidRPr="008A6ECA">
        <w:rPr>
          <w:rFonts w:ascii="Times New Roman" w:hAnsi="Times New Roman" w:cs="Times New Roman"/>
          <w:color w:val="auto"/>
          <w:lang w:eastAsia="bg-BG"/>
        </w:rPr>
        <w:t>за централно отопление на природен газ</w:t>
      </w:r>
      <w:r>
        <w:rPr>
          <w:rFonts w:ascii="Times New Roman" w:hAnsi="Times New Roman" w:cs="Times New Roman"/>
          <w:color w:val="auto"/>
          <w:lang w:eastAsia="bg-BG"/>
        </w:rPr>
        <w:t xml:space="preserve"> или синтезисен газ от отпадъци в топлофикационни дружества за задоволяване на </w:t>
      </w:r>
      <w:r w:rsidRPr="008A6ECA">
        <w:rPr>
          <w:rFonts w:ascii="Times New Roman" w:hAnsi="Times New Roman" w:cs="Times New Roman"/>
          <w:color w:val="auto"/>
          <w:lang w:eastAsia="bg-BG"/>
        </w:rPr>
        <w:t xml:space="preserve">енергийните нужди </w:t>
      </w:r>
      <w:r>
        <w:rPr>
          <w:rFonts w:ascii="Times New Roman" w:hAnsi="Times New Roman" w:cs="Times New Roman"/>
          <w:color w:val="auto"/>
          <w:lang w:eastAsia="bg-BG"/>
        </w:rPr>
        <w:t xml:space="preserve">на </w:t>
      </w:r>
      <w:r w:rsidRPr="008A6ECA">
        <w:rPr>
          <w:rFonts w:ascii="Times New Roman" w:hAnsi="Times New Roman" w:cs="Times New Roman"/>
          <w:color w:val="auto"/>
          <w:lang w:eastAsia="bg-BG"/>
        </w:rPr>
        <w:t>общини</w:t>
      </w:r>
      <w:r>
        <w:rPr>
          <w:rFonts w:ascii="Times New Roman" w:hAnsi="Times New Roman" w:cs="Times New Roman"/>
          <w:color w:val="auto"/>
          <w:lang w:eastAsia="bg-BG"/>
        </w:rPr>
        <w:t xml:space="preserve"> и големи населени места, в периода до 2050 година.</w:t>
      </w:r>
      <w:r w:rsidRPr="00E326E0">
        <w:rPr>
          <w:rFonts w:ascii="Times New Roman" w:hAnsi="Times New Roman" w:cs="Times New Roman"/>
          <w:b/>
          <w:color w:val="auto"/>
          <w:lang w:eastAsia="bg-BG"/>
        </w:rPr>
        <w:t xml:space="preserve"> </w:t>
      </w:r>
    </w:p>
    <w:p w:rsidR="00173C23" w:rsidRDefault="00173C23" w:rsidP="00C446FB">
      <w:pPr>
        <w:pStyle w:val="Default"/>
        <w:spacing w:after="120"/>
        <w:ind w:firstLine="720"/>
        <w:rPr>
          <w:rFonts w:ascii="Times New Roman" w:hAnsi="Times New Roman" w:cs="Times New Roman"/>
          <w:b/>
          <w:color w:val="auto"/>
          <w:lang w:eastAsia="bg-BG"/>
        </w:rPr>
      </w:pPr>
      <w:r w:rsidRPr="00EE35DD">
        <w:rPr>
          <w:rFonts w:ascii="Times New Roman" w:hAnsi="Times New Roman" w:cs="Times New Roman"/>
          <w:b/>
          <w:color w:val="auto"/>
          <w:lang w:eastAsia="bg-BG"/>
        </w:rPr>
        <w:t xml:space="preserve">Приоритет </w:t>
      </w:r>
      <w:r>
        <w:rPr>
          <w:rFonts w:ascii="Times New Roman" w:hAnsi="Times New Roman" w:cs="Times New Roman"/>
          <w:b/>
          <w:color w:val="auto"/>
          <w:lang w:eastAsia="bg-BG"/>
        </w:rPr>
        <w:t>7</w:t>
      </w:r>
      <w:r w:rsidRPr="00EE35DD">
        <w:rPr>
          <w:rFonts w:ascii="Times New Roman" w:hAnsi="Times New Roman" w:cs="Times New Roman"/>
          <w:b/>
          <w:color w:val="auto"/>
          <w:lang w:eastAsia="bg-BG"/>
        </w:rPr>
        <w:t>:</w:t>
      </w:r>
      <w:r>
        <w:rPr>
          <w:rFonts w:ascii="Times New Roman" w:hAnsi="Times New Roman" w:cs="Times New Roman"/>
          <w:color w:val="auto"/>
          <w:lang w:eastAsia="bg-BG"/>
        </w:rPr>
        <w:t xml:space="preserve"> </w:t>
      </w:r>
      <w:r w:rsidRPr="00E326E0">
        <w:rPr>
          <w:rFonts w:ascii="Times New Roman" w:hAnsi="Times New Roman" w:cs="Times New Roman"/>
        </w:rPr>
        <w:t>Да се организира национална горска инвентаризация с цел получаване на точни данни за поглъщателната способност на горите, включително и в бъдеще при евентуални залесителни кампании в земеделски територии.</w:t>
      </w:r>
      <w:r w:rsidRPr="00CA468D">
        <w:rPr>
          <w:rFonts w:ascii="Times New Roman" w:hAnsi="Times New Roman" w:cs="Times New Roman"/>
          <w:b/>
          <w:color w:val="auto"/>
          <w:lang w:eastAsia="bg-BG"/>
        </w:rPr>
        <w:t xml:space="preserve"> </w:t>
      </w:r>
    </w:p>
    <w:p w:rsidR="00173C23" w:rsidRDefault="00173C23" w:rsidP="00C446FB">
      <w:pPr>
        <w:pStyle w:val="Default"/>
        <w:spacing w:after="120"/>
        <w:ind w:firstLine="720"/>
        <w:rPr>
          <w:rFonts w:ascii="Times New Roman" w:hAnsi="Times New Roman" w:cs="Times New Roman"/>
        </w:rPr>
      </w:pPr>
      <w:r w:rsidRPr="00EE35DD">
        <w:rPr>
          <w:rFonts w:ascii="Times New Roman" w:hAnsi="Times New Roman" w:cs="Times New Roman"/>
          <w:b/>
          <w:color w:val="auto"/>
          <w:lang w:eastAsia="bg-BG"/>
        </w:rPr>
        <w:t>Приоритет</w:t>
      </w:r>
      <w:r>
        <w:rPr>
          <w:rFonts w:ascii="Times New Roman" w:hAnsi="Times New Roman" w:cs="Times New Roman"/>
          <w:b/>
          <w:color w:val="auto"/>
          <w:lang w:eastAsia="bg-BG"/>
        </w:rPr>
        <w:t xml:space="preserve"> 8</w:t>
      </w:r>
      <w:r w:rsidRPr="00EE35DD">
        <w:rPr>
          <w:rFonts w:ascii="Times New Roman" w:hAnsi="Times New Roman" w:cs="Times New Roman"/>
          <w:b/>
          <w:color w:val="auto"/>
          <w:lang w:eastAsia="bg-BG"/>
        </w:rPr>
        <w:t>:</w:t>
      </w:r>
      <w:r>
        <w:rPr>
          <w:rFonts w:ascii="Times New Roman" w:hAnsi="Times New Roman" w:cs="Times New Roman"/>
          <w:color w:val="auto"/>
          <w:lang w:eastAsia="bg-BG"/>
        </w:rPr>
        <w:t xml:space="preserve"> В областта на транспорта да бъде разработена и обезпечена финансово национална програма за поетапно преминаване на тежкия автомобилен транспорт към ВПГ или водородни смеси. Този процес ще има много съществен принос за съкращаване на емисииите на парникови газове на национално ниво и може да облекчи други отрасли от натоварване с глоби.  </w:t>
      </w:r>
    </w:p>
    <w:p w:rsidR="00173C23" w:rsidRDefault="00173C23" w:rsidP="00C446FB">
      <w:pPr>
        <w:pStyle w:val="Default"/>
        <w:spacing w:after="120"/>
        <w:ind w:firstLine="720"/>
        <w:rPr>
          <w:rFonts w:ascii="Times New Roman" w:hAnsi="Times New Roman" w:cs="Times New Roman"/>
          <w:color w:val="auto"/>
          <w:lang w:eastAsia="bg-BG"/>
        </w:rPr>
      </w:pPr>
      <w:r w:rsidRPr="00EE35DD">
        <w:rPr>
          <w:rFonts w:ascii="Times New Roman" w:hAnsi="Times New Roman" w:cs="Times New Roman"/>
          <w:b/>
          <w:color w:val="auto"/>
          <w:lang w:eastAsia="bg-BG"/>
        </w:rPr>
        <w:t>Приоритет</w:t>
      </w:r>
      <w:r>
        <w:rPr>
          <w:rFonts w:ascii="Times New Roman" w:hAnsi="Times New Roman" w:cs="Times New Roman"/>
          <w:b/>
          <w:color w:val="auto"/>
          <w:lang w:eastAsia="bg-BG"/>
        </w:rPr>
        <w:t xml:space="preserve"> 9</w:t>
      </w:r>
      <w:r w:rsidRPr="00EE35DD">
        <w:rPr>
          <w:rFonts w:ascii="Times New Roman" w:hAnsi="Times New Roman" w:cs="Times New Roman"/>
          <w:b/>
          <w:color w:val="auto"/>
          <w:lang w:eastAsia="bg-BG"/>
        </w:rPr>
        <w:t>:</w:t>
      </w:r>
      <w:r>
        <w:rPr>
          <w:rFonts w:ascii="Times New Roman" w:hAnsi="Times New Roman" w:cs="Times New Roman"/>
          <w:color w:val="auto"/>
          <w:lang w:eastAsia="bg-BG"/>
        </w:rPr>
        <w:t xml:space="preserve"> Разработване и реализация </w:t>
      </w:r>
      <w:r w:rsidRPr="008A6ECA">
        <w:rPr>
          <w:rFonts w:ascii="Times New Roman" w:hAnsi="Times New Roman" w:cs="Times New Roman"/>
          <w:color w:val="auto"/>
          <w:lang w:eastAsia="bg-BG"/>
        </w:rPr>
        <w:t xml:space="preserve">на </w:t>
      </w:r>
      <w:r>
        <w:rPr>
          <w:rFonts w:ascii="Times New Roman" w:hAnsi="Times New Roman" w:cs="Times New Roman"/>
          <w:color w:val="auto"/>
          <w:lang w:eastAsia="bg-BG"/>
        </w:rPr>
        <w:t xml:space="preserve">национална </w:t>
      </w:r>
      <w:r w:rsidRPr="008A6ECA">
        <w:rPr>
          <w:rFonts w:ascii="Times New Roman" w:hAnsi="Times New Roman" w:cs="Times New Roman"/>
          <w:color w:val="auto"/>
          <w:lang w:eastAsia="bg-BG"/>
        </w:rPr>
        <w:t xml:space="preserve">програма за усвояване на националния воден ресурс </w:t>
      </w:r>
      <w:r>
        <w:rPr>
          <w:rFonts w:ascii="Times New Roman" w:hAnsi="Times New Roman" w:cs="Times New Roman"/>
          <w:color w:val="auto"/>
          <w:lang w:eastAsia="bg-BG"/>
        </w:rPr>
        <w:t xml:space="preserve">на река Дунав и други реки в България, както и за значителните </w:t>
      </w:r>
      <w:r w:rsidRPr="008A6ECA">
        <w:rPr>
          <w:rFonts w:ascii="Times New Roman" w:hAnsi="Times New Roman" w:cs="Times New Roman"/>
          <w:color w:val="auto"/>
          <w:lang w:eastAsia="bg-BG"/>
        </w:rPr>
        <w:t>геотермални ресурси</w:t>
      </w:r>
      <w:r>
        <w:rPr>
          <w:rFonts w:ascii="Times New Roman" w:hAnsi="Times New Roman" w:cs="Times New Roman"/>
          <w:color w:val="auto"/>
          <w:lang w:eastAsia="bg-BG"/>
        </w:rPr>
        <w:t xml:space="preserve"> в редица региони в страна</w:t>
      </w:r>
      <w:r w:rsidRPr="008A6ECA">
        <w:rPr>
          <w:rFonts w:ascii="Times New Roman" w:hAnsi="Times New Roman" w:cs="Times New Roman"/>
          <w:color w:val="auto"/>
          <w:lang w:eastAsia="bg-BG"/>
        </w:rPr>
        <w:t>.</w:t>
      </w:r>
      <w:r>
        <w:rPr>
          <w:rFonts w:ascii="Times New Roman" w:hAnsi="Times New Roman" w:cs="Times New Roman"/>
          <w:color w:val="auto"/>
          <w:lang w:eastAsia="bg-BG"/>
        </w:rPr>
        <w:t xml:space="preserve"> Тези проекти трябва да се разглеждат пред всичко като част от инфраструктурното развитие на региона, особено по река Дунав, където в комбинация с интермодални пристанища за ТИР-транспортни средства могат да допринесат за значително намаляване на емисиите от тежкия автомобилен транспорт.  </w:t>
      </w:r>
    </w:p>
    <w:p w:rsidR="00173C23" w:rsidRDefault="00173C23" w:rsidP="00C446FB">
      <w:pPr>
        <w:pStyle w:val="Default"/>
        <w:spacing w:after="120"/>
        <w:ind w:firstLine="720"/>
        <w:rPr>
          <w:rFonts w:ascii="Times New Roman" w:hAnsi="Times New Roman" w:cs="Times New Roman"/>
          <w:b/>
        </w:rPr>
      </w:pPr>
      <w:r w:rsidRPr="00EE35DD">
        <w:rPr>
          <w:rFonts w:ascii="Times New Roman" w:hAnsi="Times New Roman" w:cs="Times New Roman"/>
          <w:b/>
          <w:color w:val="auto"/>
          <w:lang w:eastAsia="bg-BG"/>
        </w:rPr>
        <w:t xml:space="preserve">Приоритет </w:t>
      </w:r>
      <w:r>
        <w:rPr>
          <w:rFonts w:ascii="Times New Roman" w:hAnsi="Times New Roman" w:cs="Times New Roman"/>
          <w:b/>
          <w:color w:val="auto"/>
          <w:lang w:eastAsia="bg-BG"/>
        </w:rPr>
        <w:t>10</w:t>
      </w:r>
      <w:r w:rsidRPr="00EE35DD">
        <w:rPr>
          <w:rFonts w:ascii="Times New Roman" w:hAnsi="Times New Roman" w:cs="Times New Roman"/>
          <w:b/>
          <w:color w:val="auto"/>
          <w:lang w:eastAsia="bg-BG"/>
        </w:rPr>
        <w:t>:</w:t>
      </w:r>
      <w:r>
        <w:rPr>
          <w:rFonts w:ascii="Times New Roman" w:hAnsi="Times New Roman" w:cs="Times New Roman"/>
          <w:color w:val="auto"/>
          <w:lang w:eastAsia="bg-BG"/>
        </w:rPr>
        <w:t xml:space="preserve"> Изграждане на нови ТЕЦ за усвояване на значителния потенциал на горска биомаса и на земеделски отпадъци. За целта в страната трябва да бъде изграден  </w:t>
      </w:r>
      <w:r w:rsidRPr="008A6ECA">
        <w:rPr>
          <w:rFonts w:ascii="Times New Roman" w:hAnsi="Times New Roman" w:cs="Times New Roman"/>
        </w:rPr>
        <w:t>научен капацит</w:t>
      </w:r>
      <w:r>
        <w:rPr>
          <w:rFonts w:ascii="Times New Roman" w:hAnsi="Times New Roman" w:cs="Times New Roman"/>
        </w:rPr>
        <w:t xml:space="preserve">ет за изпълнение на т.н. национална </w:t>
      </w:r>
      <w:r w:rsidRPr="008A6ECA">
        <w:rPr>
          <w:rFonts w:ascii="Times New Roman" w:hAnsi="Times New Roman" w:cs="Times New Roman"/>
        </w:rPr>
        <w:t>статистическа инвентаризация на горите</w:t>
      </w:r>
      <w:r>
        <w:rPr>
          <w:rFonts w:ascii="Times New Roman" w:hAnsi="Times New Roman" w:cs="Times New Roman"/>
        </w:rPr>
        <w:t xml:space="preserve">, което е </w:t>
      </w:r>
      <w:r w:rsidRPr="008A6ECA">
        <w:rPr>
          <w:rFonts w:ascii="Times New Roman" w:hAnsi="Times New Roman" w:cs="Times New Roman"/>
        </w:rPr>
        <w:t>първа стъпка за реализиране</w:t>
      </w:r>
      <w:r>
        <w:rPr>
          <w:rFonts w:ascii="Times New Roman" w:hAnsi="Times New Roman" w:cs="Times New Roman"/>
        </w:rPr>
        <w:t xml:space="preserve"> на тази политика и за така важното за България точно </w:t>
      </w:r>
      <w:r w:rsidRPr="00354E7D">
        <w:rPr>
          <w:rFonts w:ascii="Times New Roman" w:hAnsi="Times New Roman" w:cs="Times New Roman"/>
        </w:rPr>
        <w:t>отчитане на поглъщателната способност на въглеродни емисиии от горите у нас.</w:t>
      </w:r>
      <w:r>
        <w:rPr>
          <w:rFonts w:ascii="Times New Roman" w:hAnsi="Times New Roman" w:cs="Times New Roman"/>
          <w:b/>
        </w:rPr>
        <w:t xml:space="preserve"> </w:t>
      </w:r>
      <w:r w:rsidRPr="008A6ECA">
        <w:rPr>
          <w:rFonts w:ascii="Times New Roman" w:hAnsi="Times New Roman" w:cs="Times New Roman"/>
          <w:b/>
        </w:rPr>
        <w:t xml:space="preserve"> </w:t>
      </w:r>
    </w:p>
    <w:p w:rsidR="00173C23" w:rsidRPr="008A6ECA" w:rsidRDefault="00173C23" w:rsidP="00C446FB">
      <w:pPr>
        <w:pStyle w:val="Default"/>
        <w:spacing w:after="120"/>
        <w:ind w:firstLine="720"/>
        <w:rPr>
          <w:rFonts w:ascii="Times New Roman" w:hAnsi="Times New Roman" w:cs="Times New Roman"/>
          <w:color w:val="auto"/>
          <w:lang w:eastAsia="bg-BG"/>
        </w:rPr>
      </w:pPr>
      <w:r w:rsidRPr="00EE35DD">
        <w:rPr>
          <w:rFonts w:ascii="Times New Roman" w:hAnsi="Times New Roman" w:cs="Times New Roman"/>
          <w:b/>
          <w:color w:val="auto"/>
          <w:lang w:eastAsia="bg-BG"/>
        </w:rPr>
        <w:t xml:space="preserve">Приоритет </w:t>
      </w:r>
      <w:r>
        <w:rPr>
          <w:rFonts w:ascii="Times New Roman" w:hAnsi="Times New Roman" w:cs="Times New Roman"/>
          <w:b/>
          <w:color w:val="auto"/>
          <w:lang w:eastAsia="bg-BG"/>
        </w:rPr>
        <w:t>11</w:t>
      </w:r>
      <w:r w:rsidRPr="00EE35DD">
        <w:rPr>
          <w:rFonts w:ascii="Times New Roman" w:hAnsi="Times New Roman" w:cs="Times New Roman"/>
          <w:b/>
          <w:color w:val="auto"/>
          <w:lang w:eastAsia="bg-BG"/>
        </w:rPr>
        <w:t>:</w:t>
      </w:r>
      <w:r>
        <w:rPr>
          <w:rFonts w:ascii="Times New Roman" w:hAnsi="Times New Roman" w:cs="Times New Roman"/>
          <w:color w:val="auto"/>
          <w:lang w:eastAsia="bg-BG"/>
        </w:rPr>
        <w:t xml:space="preserve"> Разработване на ц</w:t>
      </w:r>
      <w:r w:rsidRPr="008A6ECA">
        <w:rPr>
          <w:rFonts w:ascii="Times New Roman" w:hAnsi="Times New Roman" w:cs="Times New Roman"/>
          <w:color w:val="auto"/>
          <w:lang w:eastAsia="bg-BG"/>
        </w:rPr>
        <w:t xml:space="preserve">елеви научно-приложни програми </w:t>
      </w:r>
      <w:r>
        <w:rPr>
          <w:rFonts w:ascii="Times New Roman" w:hAnsi="Times New Roman" w:cs="Times New Roman"/>
          <w:color w:val="auto"/>
          <w:lang w:eastAsia="bg-BG"/>
        </w:rPr>
        <w:t>в българските научни институти з</w:t>
      </w:r>
      <w:r w:rsidRPr="008A6ECA">
        <w:rPr>
          <w:rFonts w:ascii="Times New Roman" w:hAnsi="Times New Roman" w:cs="Times New Roman"/>
          <w:color w:val="auto"/>
          <w:lang w:eastAsia="bg-BG"/>
        </w:rPr>
        <w:t xml:space="preserve">а съхранение на енергия, </w:t>
      </w:r>
      <w:r>
        <w:rPr>
          <w:rFonts w:ascii="Times New Roman" w:hAnsi="Times New Roman" w:cs="Times New Roman"/>
          <w:color w:val="auto"/>
          <w:lang w:eastAsia="bg-BG"/>
        </w:rPr>
        <w:t>производство на в</w:t>
      </w:r>
      <w:r w:rsidRPr="008A6ECA">
        <w:rPr>
          <w:rFonts w:ascii="Times New Roman" w:hAnsi="Times New Roman" w:cs="Times New Roman"/>
          <w:color w:val="auto"/>
          <w:lang w:eastAsia="bg-BG"/>
        </w:rPr>
        <w:t>одород</w:t>
      </w:r>
      <w:r>
        <w:rPr>
          <w:rFonts w:ascii="Times New Roman" w:hAnsi="Times New Roman" w:cs="Times New Roman"/>
          <w:color w:val="auto"/>
          <w:lang w:eastAsia="bg-BG"/>
        </w:rPr>
        <w:t xml:space="preserve"> и водородни клетки</w:t>
      </w:r>
      <w:r w:rsidRPr="008A6ECA">
        <w:rPr>
          <w:rFonts w:ascii="Times New Roman" w:hAnsi="Times New Roman" w:cs="Times New Roman"/>
          <w:color w:val="auto"/>
          <w:lang w:eastAsia="bg-BG"/>
        </w:rPr>
        <w:t>, дигитализация и интелигентни системи за управление</w:t>
      </w:r>
    </w:p>
    <w:p w:rsidR="00173C23" w:rsidRDefault="00173C23" w:rsidP="00C446FB">
      <w:pPr>
        <w:spacing w:after="120"/>
        <w:ind w:firstLine="720"/>
        <w:jc w:val="both"/>
        <w:rPr>
          <w:lang w:val="ru-RU"/>
        </w:rPr>
      </w:pPr>
      <w:r>
        <w:rPr>
          <w:lang w:val="ru-RU"/>
        </w:rPr>
        <w:t xml:space="preserve">Членовете на авторския колектив, изготвил анализа, нямат претенции за пълна изчерпателност на анализираното съдържание на Плана, защото те са концентрирали своите усилия в области и теми, които смятат за първоприоритетни. </w:t>
      </w:r>
    </w:p>
    <w:p w:rsidR="00173C23" w:rsidRDefault="00173C23" w:rsidP="00C446FB">
      <w:pPr>
        <w:spacing w:after="120"/>
        <w:ind w:firstLine="720"/>
        <w:jc w:val="both"/>
        <w:rPr>
          <w:lang w:val="ru-RU"/>
        </w:rPr>
      </w:pPr>
      <w:r>
        <w:rPr>
          <w:lang w:val="ru-RU"/>
        </w:rPr>
        <w:t>Оставаме на разположение за въпроси, коментари и защита на изложените позиции.</w:t>
      </w:r>
    </w:p>
    <w:p w:rsidR="00173C23" w:rsidRDefault="00173C23" w:rsidP="000A6439">
      <w:pPr>
        <w:spacing w:after="120"/>
        <w:ind w:left="360"/>
        <w:rPr>
          <w:lang w:val="ru-RU"/>
        </w:rPr>
      </w:pPr>
      <w:r>
        <w:rPr>
          <w:lang w:val="ru-RU"/>
        </w:rPr>
        <w:t>Представляващ колектива:</w:t>
      </w:r>
    </w:p>
    <w:p w:rsidR="00173C23" w:rsidRDefault="00173C23" w:rsidP="000A6439">
      <w:pPr>
        <w:spacing w:after="120"/>
        <w:ind w:left="360"/>
        <w:rPr>
          <w:lang w:val="ru-RU"/>
        </w:rPr>
      </w:pPr>
    </w:p>
    <w:p w:rsidR="00173C23" w:rsidRDefault="00173C23" w:rsidP="000A6439">
      <w:pPr>
        <w:spacing w:after="120"/>
        <w:ind w:left="360"/>
        <w:rPr>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odpis Hin" style="width:96pt;height:48pt;visibility:visible">
            <v:imagedata r:id="rId7" o:title=""/>
          </v:shape>
        </w:pict>
      </w:r>
    </w:p>
    <w:p w:rsidR="00173C23" w:rsidRDefault="00173C23" w:rsidP="000A6439">
      <w:pPr>
        <w:spacing w:after="120"/>
        <w:ind w:left="360"/>
        <w:rPr>
          <w:lang w:val="ru-RU"/>
        </w:rPr>
      </w:pPr>
      <w:r>
        <w:rPr>
          <w:lang w:val="ru-RU"/>
        </w:rPr>
        <w:t>Председател на БЕМФ</w:t>
      </w:r>
    </w:p>
    <w:p w:rsidR="00173C23" w:rsidRPr="00A70C71" w:rsidRDefault="00173C23" w:rsidP="000A6439">
      <w:pPr>
        <w:spacing w:after="120"/>
        <w:ind w:left="360"/>
      </w:pPr>
      <w:r>
        <w:rPr>
          <w:lang w:val="ru-RU"/>
        </w:rPr>
        <w:t>Иван  Хиновски</w:t>
      </w:r>
    </w:p>
    <w:p w:rsidR="00173C23" w:rsidRPr="000D080C" w:rsidRDefault="00173C23" w:rsidP="000A6439">
      <w:pPr>
        <w:spacing w:after="200" w:line="276" w:lineRule="auto"/>
        <w:jc w:val="right"/>
        <w:rPr>
          <w:color w:val="000000"/>
          <w:lang w:val="ru-RU"/>
        </w:rPr>
      </w:pPr>
    </w:p>
    <w:sectPr w:rsidR="00173C23" w:rsidRPr="000D080C" w:rsidSect="00BD66E7">
      <w:footerReference w:type="default" r:id="rId8"/>
      <w:pgSz w:w="12240" w:h="15840"/>
      <w:pgMar w:top="284" w:right="810" w:bottom="142"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C23" w:rsidRDefault="00173C23" w:rsidP="00103995">
      <w:r>
        <w:separator/>
      </w:r>
    </w:p>
  </w:endnote>
  <w:endnote w:type="continuationSeparator" w:id="0">
    <w:p w:rsidR="00173C23" w:rsidRDefault="00173C23" w:rsidP="00103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3" w:rsidRPr="008934D6" w:rsidRDefault="00173C23" w:rsidP="00103995">
    <w:pPr>
      <w:pStyle w:val="Footer"/>
      <w:pBdr>
        <w:top w:val="thinThickSmallGap" w:sz="24" w:space="1" w:color="622423"/>
      </w:pBdr>
      <w:rPr>
        <w:rFonts w:ascii="Cambria" w:hAnsi="Cambria"/>
        <w:sz w:val="18"/>
        <w:szCs w:val="18"/>
        <w:u w:val="single"/>
        <w:lang w:val="ru-RU"/>
      </w:rPr>
    </w:pPr>
    <w:r w:rsidRPr="008934D6">
      <w:rPr>
        <w:rFonts w:ascii="Cambria" w:hAnsi="Cambria"/>
        <w:sz w:val="18"/>
        <w:szCs w:val="18"/>
        <w:u w:val="single"/>
        <w:lang w:val="ru-RU"/>
      </w:rPr>
      <w:t>ИНПЕК, БЕМФ и партньори, 7.03.2020г.</w:t>
    </w:r>
  </w:p>
  <w:p w:rsidR="00173C23" w:rsidRPr="008934D6" w:rsidRDefault="00173C23" w:rsidP="00103995">
    <w:pPr>
      <w:pStyle w:val="Footer"/>
      <w:pBdr>
        <w:top w:val="thinThickSmallGap" w:sz="24" w:space="1" w:color="622423"/>
      </w:pBdr>
      <w:rPr>
        <w:rFonts w:ascii="Cambria" w:hAnsi="Cambria"/>
        <w:sz w:val="18"/>
        <w:szCs w:val="18"/>
        <w:lang w:val="ru-RU"/>
      </w:rPr>
    </w:pPr>
    <w:r w:rsidRPr="008934D6">
      <w:rPr>
        <w:rFonts w:ascii="Cambria" w:hAnsi="Cambria"/>
        <w:sz w:val="18"/>
        <w:szCs w:val="18"/>
        <w:u w:val="single"/>
        <w:lang w:val="ru-RU"/>
      </w:rPr>
      <w:t>Декларация:</w:t>
    </w:r>
    <w:r>
      <w:rPr>
        <w:rFonts w:ascii="Cambria" w:hAnsi="Cambria"/>
        <w:sz w:val="18"/>
        <w:szCs w:val="18"/>
        <w:u w:val="single"/>
        <w:lang w:val="bg-BG"/>
      </w:rPr>
      <w:t xml:space="preserve"> </w:t>
    </w:r>
    <w:r w:rsidRPr="008934D6">
      <w:rPr>
        <w:rFonts w:ascii="Cambria" w:hAnsi="Cambria"/>
        <w:sz w:val="18"/>
        <w:szCs w:val="18"/>
        <w:lang w:val="ru-RU"/>
      </w:rPr>
      <w:t xml:space="preserve">БЕМФ не носи отговорност за споделени в настоящия документ от членове на колектива оценкии предложения имащи отношение или в конфликт с политики и действия на Правителството във въпросните области на енергетиката. </w:t>
    </w:r>
  </w:p>
  <w:p w:rsidR="00173C23" w:rsidRDefault="00173C23" w:rsidP="00A0054E">
    <w:pPr>
      <w:pStyle w:val="Footer"/>
      <w:pBdr>
        <w:top w:val="thinThickSmallGap" w:sz="24" w:space="1" w:color="622423"/>
      </w:pBdr>
      <w:jc w:val="right"/>
      <w:rPr>
        <w:rFonts w:ascii="Cambria" w:hAnsi="Cambria"/>
      </w:rPr>
    </w:pPr>
    <w:r>
      <w:rPr>
        <w:rFonts w:ascii="Cambria" w:hAnsi="Cambria"/>
      </w:rPr>
      <w:t xml:space="preserve">Page </w:t>
    </w:r>
    <w:fldSimple w:instr=" PAGE   \* MERGEFORMAT ">
      <w:r w:rsidRPr="007C7952">
        <w:rPr>
          <w:rFonts w:ascii="Cambria" w:hAnsi="Cambria"/>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C23" w:rsidRDefault="00173C23" w:rsidP="00103995">
      <w:r>
        <w:separator/>
      </w:r>
    </w:p>
  </w:footnote>
  <w:footnote w:type="continuationSeparator" w:id="0">
    <w:p w:rsidR="00173C23" w:rsidRDefault="00173C23" w:rsidP="00103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BF9"/>
    <w:multiLevelType w:val="hybridMultilevel"/>
    <w:tmpl w:val="F09E7096"/>
    <w:lvl w:ilvl="0" w:tplc="6FAA5E4C">
      <w:start w:val="1"/>
      <w:numFmt w:val="decimal"/>
      <w:lvlText w:val="%1)"/>
      <w:lvlJc w:val="left"/>
      <w:pPr>
        <w:ind w:left="1683" w:hanging="97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
    <w:nsid w:val="021174F2"/>
    <w:multiLevelType w:val="hybridMultilevel"/>
    <w:tmpl w:val="853CC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7E1BC7"/>
    <w:multiLevelType w:val="hybridMultilevel"/>
    <w:tmpl w:val="991C49F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09E966FF"/>
    <w:multiLevelType w:val="hybridMultilevel"/>
    <w:tmpl w:val="5BAADC1A"/>
    <w:lvl w:ilvl="0" w:tplc="4C34E366">
      <w:start w:val="1"/>
      <w:numFmt w:val="decimal"/>
      <w:lvlText w:val="%1."/>
      <w:lvlJc w:val="left"/>
      <w:pPr>
        <w:tabs>
          <w:tab w:val="num" w:pos="720"/>
        </w:tabs>
        <w:ind w:left="720" w:hanging="360"/>
      </w:pPr>
      <w:rPr>
        <w:rFonts w:cs="Times New Roman" w:hint="default"/>
      </w:rPr>
    </w:lvl>
    <w:lvl w:ilvl="1" w:tplc="84A05CDA">
      <w:numFmt w:val="none"/>
      <w:lvlText w:val=""/>
      <w:lvlJc w:val="left"/>
      <w:pPr>
        <w:tabs>
          <w:tab w:val="num" w:pos="360"/>
        </w:tabs>
      </w:pPr>
      <w:rPr>
        <w:rFonts w:cs="Times New Roman"/>
      </w:rPr>
    </w:lvl>
    <w:lvl w:ilvl="2" w:tplc="84121F20">
      <w:numFmt w:val="none"/>
      <w:lvlText w:val=""/>
      <w:lvlJc w:val="left"/>
      <w:pPr>
        <w:tabs>
          <w:tab w:val="num" w:pos="360"/>
        </w:tabs>
      </w:pPr>
      <w:rPr>
        <w:rFonts w:cs="Times New Roman"/>
      </w:rPr>
    </w:lvl>
    <w:lvl w:ilvl="3" w:tplc="5AE6B768">
      <w:numFmt w:val="none"/>
      <w:lvlText w:val=""/>
      <w:lvlJc w:val="left"/>
      <w:pPr>
        <w:tabs>
          <w:tab w:val="num" w:pos="360"/>
        </w:tabs>
      </w:pPr>
      <w:rPr>
        <w:rFonts w:cs="Times New Roman"/>
      </w:rPr>
    </w:lvl>
    <w:lvl w:ilvl="4" w:tplc="9E442E0E">
      <w:numFmt w:val="none"/>
      <w:lvlText w:val=""/>
      <w:lvlJc w:val="left"/>
      <w:pPr>
        <w:tabs>
          <w:tab w:val="num" w:pos="360"/>
        </w:tabs>
      </w:pPr>
      <w:rPr>
        <w:rFonts w:cs="Times New Roman"/>
      </w:rPr>
    </w:lvl>
    <w:lvl w:ilvl="5" w:tplc="41FCD470">
      <w:numFmt w:val="none"/>
      <w:lvlText w:val=""/>
      <w:lvlJc w:val="left"/>
      <w:pPr>
        <w:tabs>
          <w:tab w:val="num" w:pos="360"/>
        </w:tabs>
      </w:pPr>
      <w:rPr>
        <w:rFonts w:cs="Times New Roman"/>
      </w:rPr>
    </w:lvl>
    <w:lvl w:ilvl="6" w:tplc="4802DD5C">
      <w:numFmt w:val="none"/>
      <w:lvlText w:val=""/>
      <w:lvlJc w:val="left"/>
      <w:pPr>
        <w:tabs>
          <w:tab w:val="num" w:pos="360"/>
        </w:tabs>
      </w:pPr>
      <w:rPr>
        <w:rFonts w:cs="Times New Roman"/>
      </w:rPr>
    </w:lvl>
    <w:lvl w:ilvl="7" w:tplc="AAEA4F0E">
      <w:numFmt w:val="none"/>
      <w:lvlText w:val=""/>
      <w:lvlJc w:val="left"/>
      <w:pPr>
        <w:tabs>
          <w:tab w:val="num" w:pos="360"/>
        </w:tabs>
      </w:pPr>
      <w:rPr>
        <w:rFonts w:cs="Times New Roman"/>
      </w:rPr>
    </w:lvl>
    <w:lvl w:ilvl="8" w:tplc="3A24D4EA">
      <w:numFmt w:val="none"/>
      <w:lvlText w:val=""/>
      <w:lvlJc w:val="left"/>
      <w:pPr>
        <w:tabs>
          <w:tab w:val="num" w:pos="360"/>
        </w:tabs>
      </w:pPr>
      <w:rPr>
        <w:rFonts w:cs="Times New Roman"/>
      </w:rPr>
    </w:lvl>
  </w:abstractNum>
  <w:abstractNum w:abstractNumId="4">
    <w:nsid w:val="13B133D1"/>
    <w:multiLevelType w:val="hybridMultilevel"/>
    <w:tmpl w:val="715AE418"/>
    <w:lvl w:ilvl="0" w:tplc="093A4E94">
      <w:start w:val="1"/>
      <w:numFmt w:val="decimal"/>
      <w:lvlText w:val="%1."/>
      <w:lvlJc w:val="left"/>
      <w:pPr>
        <w:tabs>
          <w:tab w:val="num" w:pos="1262"/>
        </w:tabs>
        <w:ind w:left="1262" w:hanging="360"/>
      </w:pPr>
      <w:rPr>
        <w:rFonts w:cs="Times New Roman" w:hint="default"/>
      </w:rPr>
    </w:lvl>
    <w:lvl w:ilvl="1" w:tplc="04020001">
      <w:start w:val="1"/>
      <w:numFmt w:val="bullet"/>
      <w:lvlText w:val=""/>
      <w:lvlJc w:val="left"/>
      <w:pPr>
        <w:tabs>
          <w:tab w:val="num" w:pos="1982"/>
        </w:tabs>
        <w:ind w:left="1982" w:hanging="360"/>
      </w:pPr>
      <w:rPr>
        <w:rFonts w:ascii="Symbol" w:hAnsi="Symbol" w:hint="default"/>
      </w:rPr>
    </w:lvl>
    <w:lvl w:ilvl="2" w:tplc="0402001B" w:tentative="1">
      <w:start w:val="1"/>
      <w:numFmt w:val="lowerRoman"/>
      <w:lvlText w:val="%3."/>
      <w:lvlJc w:val="right"/>
      <w:pPr>
        <w:tabs>
          <w:tab w:val="num" w:pos="2702"/>
        </w:tabs>
        <w:ind w:left="2702" w:hanging="180"/>
      </w:pPr>
      <w:rPr>
        <w:rFonts w:cs="Times New Roman"/>
      </w:rPr>
    </w:lvl>
    <w:lvl w:ilvl="3" w:tplc="0402000F" w:tentative="1">
      <w:start w:val="1"/>
      <w:numFmt w:val="decimal"/>
      <w:lvlText w:val="%4."/>
      <w:lvlJc w:val="left"/>
      <w:pPr>
        <w:tabs>
          <w:tab w:val="num" w:pos="3422"/>
        </w:tabs>
        <w:ind w:left="3422" w:hanging="360"/>
      </w:pPr>
      <w:rPr>
        <w:rFonts w:cs="Times New Roman"/>
      </w:rPr>
    </w:lvl>
    <w:lvl w:ilvl="4" w:tplc="04020019" w:tentative="1">
      <w:start w:val="1"/>
      <w:numFmt w:val="lowerLetter"/>
      <w:lvlText w:val="%5."/>
      <w:lvlJc w:val="left"/>
      <w:pPr>
        <w:tabs>
          <w:tab w:val="num" w:pos="4142"/>
        </w:tabs>
        <w:ind w:left="4142" w:hanging="360"/>
      </w:pPr>
      <w:rPr>
        <w:rFonts w:cs="Times New Roman"/>
      </w:rPr>
    </w:lvl>
    <w:lvl w:ilvl="5" w:tplc="0402001B" w:tentative="1">
      <w:start w:val="1"/>
      <w:numFmt w:val="lowerRoman"/>
      <w:lvlText w:val="%6."/>
      <w:lvlJc w:val="right"/>
      <w:pPr>
        <w:tabs>
          <w:tab w:val="num" w:pos="4862"/>
        </w:tabs>
        <w:ind w:left="4862" w:hanging="180"/>
      </w:pPr>
      <w:rPr>
        <w:rFonts w:cs="Times New Roman"/>
      </w:rPr>
    </w:lvl>
    <w:lvl w:ilvl="6" w:tplc="0402000F" w:tentative="1">
      <w:start w:val="1"/>
      <w:numFmt w:val="decimal"/>
      <w:lvlText w:val="%7."/>
      <w:lvlJc w:val="left"/>
      <w:pPr>
        <w:tabs>
          <w:tab w:val="num" w:pos="5582"/>
        </w:tabs>
        <w:ind w:left="5582" w:hanging="360"/>
      </w:pPr>
      <w:rPr>
        <w:rFonts w:cs="Times New Roman"/>
      </w:rPr>
    </w:lvl>
    <w:lvl w:ilvl="7" w:tplc="04020019" w:tentative="1">
      <w:start w:val="1"/>
      <w:numFmt w:val="lowerLetter"/>
      <w:lvlText w:val="%8."/>
      <w:lvlJc w:val="left"/>
      <w:pPr>
        <w:tabs>
          <w:tab w:val="num" w:pos="6302"/>
        </w:tabs>
        <w:ind w:left="6302" w:hanging="360"/>
      </w:pPr>
      <w:rPr>
        <w:rFonts w:cs="Times New Roman"/>
      </w:rPr>
    </w:lvl>
    <w:lvl w:ilvl="8" w:tplc="0402001B" w:tentative="1">
      <w:start w:val="1"/>
      <w:numFmt w:val="lowerRoman"/>
      <w:lvlText w:val="%9."/>
      <w:lvlJc w:val="right"/>
      <w:pPr>
        <w:tabs>
          <w:tab w:val="num" w:pos="7022"/>
        </w:tabs>
        <w:ind w:left="7022" w:hanging="180"/>
      </w:pPr>
      <w:rPr>
        <w:rFonts w:cs="Times New Roman"/>
      </w:rPr>
    </w:lvl>
  </w:abstractNum>
  <w:abstractNum w:abstractNumId="5">
    <w:nsid w:val="147450CE"/>
    <w:multiLevelType w:val="hybridMultilevel"/>
    <w:tmpl w:val="68BED8CA"/>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6">
    <w:nsid w:val="16980110"/>
    <w:multiLevelType w:val="hybridMultilevel"/>
    <w:tmpl w:val="449C853C"/>
    <w:lvl w:ilvl="0" w:tplc="B2EA4520">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7">
    <w:nsid w:val="16BF5BB0"/>
    <w:multiLevelType w:val="multilevel"/>
    <w:tmpl w:val="794CF59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9E63D10"/>
    <w:multiLevelType w:val="hybridMultilevel"/>
    <w:tmpl w:val="9C2266B2"/>
    <w:lvl w:ilvl="0" w:tplc="50506D3A">
      <w:start w:val="1"/>
      <w:numFmt w:val="decimal"/>
      <w:lvlText w:val="%1."/>
      <w:lvlJc w:val="left"/>
      <w:pPr>
        <w:tabs>
          <w:tab w:val="num" w:pos="1068"/>
        </w:tabs>
        <w:ind w:left="1068" w:hanging="360"/>
      </w:pPr>
      <w:rPr>
        <w:rFonts w:cs="Times New Roman" w:hint="default"/>
        <w:b w:val="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9">
    <w:nsid w:val="1FF83363"/>
    <w:multiLevelType w:val="hybridMultilevel"/>
    <w:tmpl w:val="3E2C8AB2"/>
    <w:lvl w:ilvl="0" w:tplc="0409000F">
      <w:start w:val="1"/>
      <w:numFmt w:val="decimal"/>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2C64E5"/>
    <w:multiLevelType w:val="hybridMultilevel"/>
    <w:tmpl w:val="D552639E"/>
    <w:lvl w:ilvl="0" w:tplc="1B6C6086">
      <w:start w:val="2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076256"/>
    <w:multiLevelType w:val="hybridMultilevel"/>
    <w:tmpl w:val="794CF594"/>
    <w:lvl w:ilvl="0" w:tplc="DF2A0D3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9BB23D7"/>
    <w:multiLevelType w:val="hybridMultilevel"/>
    <w:tmpl w:val="336AB9C6"/>
    <w:lvl w:ilvl="0" w:tplc="5C14C2FE">
      <w:start w:val="9"/>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AC9245D"/>
    <w:multiLevelType w:val="hybridMultilevel"/>
    <w:tmpl w:val="66E2600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795F79"/>
    <w:multiLevelType w:val="hybridMultilevel"/>
    <w:tmpl w:val="03ECEF76"/>
    <w:lvl w:ilvl="0" w:tplc="0409000F">
      <w:start w:val="1"/>
      <w:numFmt w:val="decimal"/>
      <w:lvlText w:val="%1."/>
      <w:lvlJc w:val="left"/>
      <w:pPr>
        <w:tabs>
          <w:tab w:val="num" w:pos="1428"/>
        </w:tabs>
        <w:ind w:left="1428" w:hanging="360"/>
      </w:pPr>
      <w:rPr>
        <w:rFonts w:cs="Times New Roman"/>
      </w:rPr>
    </w:lvl>
    <w:lvl w:ilvl="1" w:tplc="04090019" w:tentative="1">
      <w:start w:val="1"/>
      <w:numFmt w:val="lowerLetter"/>
      <w:lvlText w:val="%2."/>
      <w:lvlJc w:val="left"/>
      <w:pPr>
        <w:tabs>
          <w:tab w:val="num" w:pos="2148"/>
        </w:tabs>
        <w:ind w:left="2148" w:hanging="360"/>
      </w:pPr>
      <w:rPr>
        <w:rFonts w:cs="Times New Roman"/>
      </w:rPr>
    </w:lvl>
    <w:lvl w:ilvl="2" w:tplc="0409001B" w:tentative="1">
      <w:start w:val="1"/>
      <w:numFmt w:val="lowerRoman"/>
      <w:lvlText w:val="%3."/>
      <w:lvlJc w:val="right"/>
      <w:pPr>
        <w:tabs>
          <w:tab w:val="num" w:pos="2868"/>
        </w:tabs>
        <w:ind w:left="2868" w:hanging="180"/>
      </w:pPr>
      <w:rPr>
        <w:rFonts w:cs="Times New Roman"/>
      </w:rPr>
    </w:lvl>
    <w:lvl w:ilvl="3" w:tplc="0409000F" w:tentative="1">
      <w:start w:val="1"/>
      <w:numFmt w:val="decimal"/>
      <w:lvlText w:val="%4."/>
      <w:lvlJc w:val="left"/>
      <w:pPr>
        <w:tabs>
          <w:tab w:val="num" w:pos="3588"/>
        </w:tabs>
        <w:ind w:left="3588" w:hanging="360"/>
      </w:pPr>
      <w:rPr>
        <w:rFonts w:cs="Times New Roman"/>
      </w:rPr>
    </w:lvl>
    <w:lvl w:ilvl="4" w:tplc="04090019" w:tentative="1">
      <w:start w:val="1"/>
      <w:numFmt w:val="lowerLetter"/>
      <w:lvlText w:val="%5."/>
      <w:lvlJc w:val="left"/>
      <w:pPr>
        <w:tabs>
          <w:tab w:val="num" w:pos="4308"/>
        </w:tabs>
        <w:ind w:left="4308" w:hanging="360"/>
      </w:pPr>
      <w:rPr>
        <w:rFonts w:cs="Times New Roman"/>
      </w:rPr>
    </w:lvl>
    <w:lvl w:ilvl="5" w:tplc="0409001B" w:tentative="1">
      <w:start w:val="1"/>
      <w:numFmt w:val="lowerRoman"/>
      <w:lvlText w:val="%6."/>
      <w:lvlJc w:val="right"/>
      <w:pPr>
        <w:tabs>
          <w:tab w:val="num" w:pos="5028"/>
        </w:tabs>
        <w:ind w:left="5028" w:hanging="180"/>
      </w:pPr>
      <w:rPr>
        <w:rFonts w:cs="Times New Roman"/>
      </w:rPr>
    </w:lvl>
    <w:lvl w:ilvl="6" w:tplc="0409000F" w:tentative="1">
      <w:start w:val="1"/>
      <w:numFmt w:val="decimal"/>
      <w:lvlText w:val="%7."/>
      <w:lvlJc w:val="left"/>
      <w:pPr>
        <w:tabs>
          <w:tab w:val="num" w:pos="5748"/>
        </w:tabs>
        <w:ind w:left="5748" w:hanging="360"/>
      </w:pPr>
      <w:rPr>
        <w:rFonts w:cs="Times New Roman"/>
      </w:rPr>
    </w:lvl>
    <w:lvl w:ilvl="7" w:tplc="04090019" w:tentative="1">
      <w:start w:val="1"/>
      <w:numFmt w:val="lowerLetter"/>
      <w:lvlText w:val="%8."/>
      <w:lvlJc w:val="left"/>
      <w:pPr>
        <w:tabs>
          <w:tab w:val="num" w:pos="6468"/>
        </w:tabs>
        <w:ind w:left="6468" w:hanging="360"/>
      </w:pPr>
      <w:rPr>
        <w:rFonts w:cs="Times New Roman"/>
      </w:rPr>
    </w:lvl>
    <w:lvl w:ilvl="8" w:tplc="0409001B" w:tentative="1">
      <w:start w:val="1"/>
      <w:numFmt w:val="lowerRoman"/>
      <w:lvlText w:val="%9."/>
      <w:lvlJc w:val="right"/>
      <w:pPr>
        <w:tabs>
          <w:tab w:val="num" w:pos="7188"/>
        </w:tabs>
        <w:ind w:left="7188" w:hanging="180"/>
      </w:pPr>
      <w:rPr>
        <w:rFonts w:cs="Times New Roman"/>
      </w:rPr>
    </w:lvl>
  </w:abstractNum>
  <w:abstractNum w:abstractNumId="15">
    <w:nsid w:val="306F40E6"/>
    <w:multiLevelType w:val="hybridMultilevel"/>
    <w:tmpl w:val="B65EA31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0944C04"/>
    <w:multiLevelType w:val="hybridMultilevel"/>
    <w:tmpl w:val="F820A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E32DE0"/>
    <w:multiLevelType w:val="hybridMultilevel"/>
    <w:tmpl w:val="30A0E1D6"/>
    <w:lvl w:ilvl="0" w:tplc="50506D3A">
      <w:start w:val="1"/>
      <w:numFmt w:val="decimal"/>
      <w:lvlText w:val="%1."/>
      <w:lvlJc w:val="left"/>
      <w:pPr>
        <w:tabs>
          <w:tab w:val="num" w:pos="1068"/>
        </w:tabs>
        <w:ind w:left="1068"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93143F1"/>
    <w:multiLevelType w:val="hybridMultilevel"/>
    <w:tmpl w:val="791490A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600401"/>
    <w:multiLevelType w:val="hybridMultilevel"/>
    <w:tmpl w:val="B71C4BC2"/>
    <w:lvl w:ilvl="0" w:tplc="0409000F">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EA2633D"/>
    <w:multiLevelType w:val="hybridMultilevel"/>
    <w:tmpl w:val="EEACD1C4"/>
    <w:lvl w:ilvl="0" w:tplc="04020001">
      <w:start w:val="1"/>
      <w:numFmt w:val="bullet"/>
      <w:lvlText w:val=""/>
      <w:lvlJc w:val="left"/>
      <w:pPr>
        <w:tabs>
          <w:tab w:val="num" w:pos="1622"/>
        </w:tabs>
        <w:ind w:left="1622" w:hanging="360"/>
      </w:pPr>
      <w:rPr>
        <w:rFonts w:ascii="Symbol" w:hAnsi="Symbol" w:hint="default"/>
      </w:rPr>
    </w:lvl>
    <w:lvl w:ilvl="1" w:tplc="04020003" w:tentative="1">
      <w:start w:val="1"/>
      <w:numFmt w:val="bullet"/>
      <w:lvlText w:val="o"/>
      <w:lvlJc w:val="left"/>
      <w:pPr>
        <w:tabs>
          <w:tab w:val="num" w:pos="2342"/>
        </w:tabs>
        <w:ind w:left="2342" w:hanging="360"/>
      </w:pPr>
      <w:rPr>
        <w:rFonts w:ascii="Courier New" w:hAnsi="Courier New" w:hint="default"/>
      </w:rPr>
    </w:lvl>
    <w:lvl w:ilvl="2" w:tplc="04020005" w:tentative="1">
      <w:start w:val="1"/>
      <w:numFmt w:val="bullet"/>
      <w:lvlText w:val=""/>
      <w:lvlJc w:val="left"/>
      <w:pPr>
        <w:tabs>
          <w:tab w:val="num" w:pos="3062"/>
        </w:tabs>
        <w:ind w:left="3062" w:hanging="360"/>
      </w:pPr>
      <w:rPr>
        <w:rFonts w:ascii="Wingdings" w:hAnsi="Wingdings" w:hint="default"/>
      </w:rPr>
    </w:lvl>
    <w:lvl w:ilvl="3" w:tplc="04020001" w:tentative="1">
      <w:start w:val="1"/>
      <w:numFmt w:val="bullet"/>
      <w:lvlText w:val=""/>
      <w:lvlJc w:val="left"/>
      <w:pPr>
        <w:tabs>
          <w:tab w:val="num" w:pos="3782"/>
        </w:tabs>
        <w:ind w:left="3782" w:hanging="360"/>
      </w:pPr>
      <w:rPr>
        <w:rFonts w:ascii="Symbol" w:hAnsi="Symbol" w:hint="default"/>
      </w:rPr>
    </w:lvl>
    <w:lvl w:ilvl="4" w:tplc="04020003" w:tentative="1">
      <w:start w:val="1"/>
      <w:numFmt w:val="bullet"/>
      <w:lvlText w:val="o"/>
      <w:lvlJc w:val="left"/>
      <w:pPr>
        <w:tabs>
          <w:tab w:val="num" w:pos="4502"/>
        </w:tabs>
        <w:ind w:left="4502" w:hanging="360"/>
      </w:pPr>
      <w:rPr>
        <w:rFonts w:ascii="Courier New" w:hAnsi="Courier New" w:hint="default"/>
      </w:rPr>
    </w:lvl>
    <w:lvl w:ilvl="5" w:tplc="04020005" w:tentative="1">
      <w:start w:val="1"/>
      <w:numFmt w:val="bullet"/>
      <w:lvlText w:val=""/>
      <w:lvlJc w:val="left"/>
      <w:pPr>
        <w:tabs>
          <w:tab w:val="num" w:pos="5222"/>
        </w:tabs>
        <w:ind w:left="5222" w:hanging="360"/>
      </w:pPr>
      <w:rPr>
        <w:rFonts w:ascii="Wingdings" w:hAnsi="Wingdings" w:hint="default"/>
      </w:rPr>
    </w:lvl>
    <w:lvl w:ilvl="6" w:tplc="04020001" w:tentative="1">
      <w:start w:val="1"/>
      <w:numFmt w:val="bullet"/>
      <w:lvlText w:val=""/>
      <w:lvlJc w:val="left"/>
      <w:pPr>
        <w:tabs>
          <w:tab w:val="num" w:pos="5942"/>
        </w:tabs>
        <w:ind w:left="5942" w:hanging="360"/>
      </w:pPr>
      <w:rPr>
        <w:rFonts w:ascii="Symbol" w:hAnsi="Symbol" w:hint="default"/>
      </w:rPr>
    </w:lvl>
    <w:lvl w:ilvl="7" w:tplc="04020003" w:tentative="1">
      <w:start w:val="1"/>
      <w:numFmt w:val="bullet"/>
      <w:lvlText w:val="o"/>
      <w:lvlJc w:val="left"/>
      <w:pPr>
        <w:tabs>
          <w:tab w:val="num" w:pos="6662"/>
        </w:tabs>
        <w:ind w:left="6662" w:hanging="360"/>
      </w:pPr>
      <w:rPr>
        <w:rFonts w:ascii="Courier New" w:hAnsi="Courier New" w:hint="default"/>
      </w:rPr>
    </w:lvl>
    <w:lvl w:ilvl="8" w:tplc="04020005" w:tentative="1">
      <w:start w:val="1"/>
      <w:numFmt w:val="bullet"/>
      <w:lvlText w:val=""/>
      <w:lvlJc w:val="left"/>
      <w:pPr>
        <w:tabs>
          <w:tab w:val="num" w:pos="7382"/>
        </w:tabs>
        <w:ind w:left="7382" w:hanging="360"/>
      </w:pPr>
      <w:rPr>
        <w:rFonts w:ascii="Wingdings" w:hAnsi="Wingdings" w:hint="default"/>
      </w:rPr>
    </w:lvl>
  </w:abstractNum>
  <w:abstractNum w:abstractNumId="21">
    <w:nsid w:val="4EE14D8B"/>
    <w:multiLevelType w:val="hybridMultilevel"/>
    <w:tmpl w:val="C8E0D958"/>
    <w:lvl w:ilvl="0" w:tplc="547A6292">
      <w:start w:val="1"/>
      <w:numFmt w:val="decimal"/>
      <w:lvlText w:val="%1."/>
      <w:lvlJc w:val="left"/>
      <w:pPr>
        <w:ind w:left="1800" w:hanging="360"/>
      </w:pPr>
      <w:rPr>
        <w:rFonts w:cs="Times New Roman" w:hint="default"/>
        <w:sz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4F1B7BDC"/>
    <w:multiLevelType w:val="multilevel"/>
    <w:tmpl w:val="71EA8572"/>
    <w:lvl w:ilvl="0">
      <w:start w:val="1"/>
      <w:numFmt w:val="decimal"/>
      <w:lvlText w:val="%1."/>
      <w:lvlJc w:val="left"/>
      <w:pPr>
        <w:ind w:left="720" w:hanging="360"/>
      </w:pPr>
      <w:rPr>
        <w:rFonts w:cs="Times New Roman" w:hint="default"/>
      </w:rPr>
    </w:lvl>
    <w:lvl w:ilvl="1">
      <w:start w:val="1"/>
      <w:numFmt w:val="decimal"/>
      <w:isLgl/>
      <w:lvlText w:val="%1.%2."/>
      <w:lvlJc w:val="left"/>
      <w:pPr>
        <w:ind w:left="740" w:hanging="3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50D37496"/>
    <w:multiLevelType w:val="hybridMultilevel"/>
    <w:tmpl w:val="57E20F6A"/>
    <w:lvl w:ilvl="0" w:tplc="04020011">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4">
    <w:nsid w:val="51334DAF"/>
    <w:multiLevelType w:val="hybridMultilevel"/>
    <w:tmpl w:val="148ED0E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7B2A48"/>
    <w:multiLevelType w:val="hybridMultilevel"/>
    <w:tmpl w:val="7FE4DFF4"/>
    <w:lvl w:ilvl="0" w:tplc="E946D442">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B62C64"/>
    <w:multiLevelType w:val="hybridMultilevel"/>
    <w:tmpl w:val="1B5273EA"/>
    <w:lvl w:ilvl="0" w:tplc="61266C6E">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nsid w:val="69F812C1"/>
    <w:multiLevelType w:val="hybridMultilevel"/>
    <w:tmpl w:val="54C68528"/>
    <w:lvl w:ilvl="0" w:tplc="0409000F">
      <w:start w:val="1"/>
      <w:numFmt w:val="decimal"/>
      <w:lvlText w:val="%1."/>
      <w:lvlJc w:val="left"/>
      <w:pPr>
        <w:tabs>
          <w:tab w:val="num" w:pos="928"/>
        </w:tabs>
        <w:ind w:left="928" w:hanging="360"/>
      </w:pPr>
      <w:rPr>
        <w:rFonts w:cs="Times New Roman"/>
      </w:rPr>
    </w:lvl>
    <w:lvl w:ilvl="1" w:tplc="04090019" w:tentative="1">
      <w:start w:val="1"/>
      <w:numFmt w:val="lowerLetter"/>
      <w:lvlText w:val="%2."/>
      <w:lvlJc w:val="left"/>
      <w:pPr>
        <w:tabs>
          <w:tab w:val="num" w:pos="1648"/>
        </w:tabs>
        <w:ind w:left="1648" w:hanging="360"/>
      </w:pPr>
      <w:rPr>
        <w:rFonts w:cs="Times New Roman"/>
      </w:rPr>
    </w:lvl>
    <w:lvl w:ilvl="2" w:tplc="0409001B" w:tentative="1">
      <w:start w:val="1"/>
      <w:numFmt w:val="lowerRoman"/>
      <w:lvlText w:val="%3."/>
      <w:lvlJc w:val="right"/>
      <w:pPr>
        <w:tabs>
          <w:tab w:val="num" w:pos="2368"/>
        </w:tabs>
        <w:ind w:left="2368" w:hanging="180"/>
      </w:pPr>
      <w:rPr>
        <w:rFonts w:cs="Times New Roman"/>
      </w:rPr>
    </w:lvl>
    <w:lvl w:ilvl="3" w:tplc="0409000F" w:tentative="1">
      <w:start w:val="1"/>
      <w:numFmt w:val="decimal"/>
      <w:lvlText w:val="%4."/>
      <w:lvlJc w:val="left"/>
      <w:pPr>
        <w:tabs>
          <w:tab w:val="num" w:pos="3088"/>
        </w:tabs>
        <w:ind w:left="3088" w:hanging="360"/>
      </w:pPr>
      <w:rPr>
        <w:rFonts w:cs="Times New Roman"/>
      </w:rPr>
    </w:lvl>
    <w:lvl w:ilvl="4" w:tplc="04090019" w:tentative="1">
      <w:start w:val="1"/>
      <w:numFmt w:val="lowerLetter"/>
      <w:lvlText w:val="%5."/>
      <w:lvlJc w:val="left"/>
      <w:pPr>
        <w:tabs>
          <w:tab w:val="num" w:pos="3808"/>
        </w:tabs>
        <w:ind w:left="3808" w:hanging="360"/>
      </w:pPr>
      <w:rPr>
        <w:rFonts w:cs="Times New Roman"/>
      </w:rPr>
    </w:lvl>
    <w:lvl w:ilvl="5" w:tplc="0409001B" w:tentative="1">
      <w:start w:val="1"/>
      <w:numFmt w:val="lowerRoman"/>
      <w:lvlText w:val="%6."/>
      <w:lvlJc w:val="right"/>
      <w:pPr>
        <w:tabs>
          <w:tab w:val="num" w:pos="4528"/>
        </w:tabs>
        <w:ind w:left="4528" w:hanging="180"/>
      </w:pPr>
      <w:rPr>
        <w:rFonts w:cs="Times New Roman"/>
      </w:rPr>
    </w:lvl>
    <w:lvl w:ilvl="6" w:tplc="0409000F" w:tentative="1">
      <w:start w:val="1"/>
      <w:numFmt w:val="decimal"/>
      <w:lvlText w:val="%7."/>
      <w:lvlJc w:val="left"/>
      <w:pPr>
        <w:tabs>
          <w:tab w:val="num" w:pos="5248"/>
        </w:tabs>
        <w:ind w:left="5248" w:hanging="360"/>
      </w:pPr>
      <w:rPr>
        <w:rFonts w:cs="Times New Roman"/>
      </w:rPr>
    </w:lvl>
    <w:lvl w:ilvl="7" w:tplc="04090019" w:tentative="1">
      <w:start w:val="1"/>
      <w:numFmt w:val="lowerLetter"/>
      <w:lvlText w:val="%8."/>
      <w:lvlJc w:val="left"/>
      <w:pPr>
        <w:tabs>
          <w:tab w:val="num" w:pos="5968"/>
        </w:tabs>
        <w:ind w:left="5968" w:hanging="360"/>
      </w:pPr>
      <w:rPr>
        <w:rFonts w:cs="Times New Roman"/>
      </w:rPr>
    </w:lvl>
    <w:lvl w:ilvl="8" w:tplc="0409001B" w:tentative="1">
      <w:start w:val="1"/>
      <w:numFmt w:val="lowerRoman"/>
      <w:lvlText w:val="%9."/>
      <w:lvlJc w:val="right"/>
      <w:pPr>
        <w:tabs>
          <w:tab w:val="num" w:pos="6688"/>
        </w:tabs>
        <w:ind w:left="6688" w:hanging="180"/>
      </w:pPr>
      <w:rPr>
        <w:rFonts w:cs="Times New Roman"/>
      </w:rPr>
    </w:lvl>
  </w:abstractNum>
  <w:abstractNum w:abstractNumId="28">
    <w:nsid w:val="6C3326CF"/>
    <w:multiLevelType w:val="hybridMultilevel"/>
    <w:tmpl w:val="79C4DBF8"/>
    <w:lvl w:ilvl="0" w:tplc="F67227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177313E"/>
    <w:multiLevelType w:val="hybridMultilevel"/>
    <w:tmpl w:val="1C7C2E3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71A23448"/>
    <w:multiLevelType w:val="hybridMultilevel"/>
    <w:tmpl w:val="EF88C9B2"/>
    <w:lvl w:ilvl="0" w:tplc="DF2A0D3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2AA2586"/>
    <w:multiLevelType w:val="hybridMultilevel"/>
    <w:tmpl w:val="85C8CB72"/>
    <w:lvl w:ilvl="0" w:tplc="04020001">
      <w:start w:val="1"/>
      <w:numFmt w:val="bullet"/>
      <w:lvlText w:val=""/>
      <w:lvlJc w:val="left"/>
      <w:pPr>
        <w:tabs>
          <w:tab w:val="num" w:pos="1620"/>
        </w:tabs>
        <w:ind w:left="1620" w:hanging="360"/>
      </w:pPr>
      <w:rPr>
        <w:rFonts w:ascii="Symbol" w:hAnsi="Symbol" w:hint="default"/>
      </w:rPr>
    </w:lvl>
    <w:lvl w:ilvl="1" w:tplc="04020003" w:tentative="1">
      <w:start w:val="1"/>
      <w:numFmt w:val="bullet"/>
      <w:lvlText w:val="o"/>
      <w:lvlJc w:val="left"/>
      <w:pPr>
        <w:tabs>
          <w:tab w:val="num" w:pos="2340"/>
        </w:tabs>
        <w:ind w:left="2340" w:hanging="360"/>
      </w:pPr>
      <w:rPr>
        <w:rFonts w:ascii="Courier New" w:hAnsi="Courier New" w:hint="default"/>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32">
    <w:nsid w:val="79B3154D"/>
    <w:multiLevelType w:val="hybridMultilevel"/>
    <w:tmpl w:val="3052361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3">
    <w:nsid w:val="7C953DEF"/>
    <w:multiLevelType w:val="hybridMultilevel"/>
    <w:tmpl w:val="C4C662EC"/>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1"/>
  </w:num>
  <w:num w:numId="4">
    <w:abstractNumId w:val="25"/>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6"/>
  </w:num>
  <w:num w:numId="9">
    <w:abstractNumId w:val="4"/>
  </w:num>
  <w:num w:numId="10">
    <w:abstractNumId w:val="20"/>
  </w:num>
  <w:num w:numId="11">
    <w:abstractNumId w:val="31"/>
  </w:num>
  <w:num w:numId="12">
    <w:abstractNumId w:val="5"/>
  </w:num>
  <w:num w:numId="13">
    <w:abstractNumId w:val="26"/>
  </w:num>
  <w:num w:numId="14">
    <w:abstractNumId w:val="0"/>
  </w:num>
  <w:num w:numId="15">
    <w:abstractNumId w:val="16"/>
  </w:num>
  <w:num w:numId="16">
    <w:abstractNumId w:val="24"/>
  </w:num>
  <w:num w:numId="17">
    <w:abstractNumId w:val="10"/>
  </w:num>
  <w:num w:numId="18">
    <w:abstractNumId w:val="28"/>
  </w:num>
  <w:num w:numId="19">
    <w:abstractNumId w:val="2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33"/>
  </w:num>
  <w:num w:numId="24">
    <w:abstractNumId w:val="19"/>
  </w:num>
  <w:num w:numId="25">
    <w:abstractNumId w:val="14"/>
  </w:num>
  <w:num w:numId="26">
    <w:abstractNumId w:val="8"/>
  </w:num>
  <w:num w:numId="27">
    <w:abstractNumId w:val="17"/>
  </w:num>
  <w:num w:numId="28">
    <w:abstractNumId w:val="15"/>
  </w:num>
  <w:num w:numId="29">
    <w:abstractNumId w:val="30"/>
  </w:num>
  <w:num w:numId="30">
    <w:abstractNumId w:val="11"/>
  </w:num>
  <w:num w:numId="31">
    <w:abstractNumId w:val="7"/>
  </w:num>
  <w:num w:numId="32">
    <w:abstractNumId w:val="18"/>
  </w:num>
  <w:num w:numId="33">
    <w:abstractNumId w:val="23"/>
  </w:num>
  <w:num w:numId="34">
    <w:abstractNumId w:val="27"/>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E80"/>
    <w:rsid w:val="000008F6"/>
    <w:rsid w:val="00004579"/>
    <w:rsid w:val="00005C8D"/>
    <w:rsid w:val="0001090D"/>
    <w:rsid w:val="00011F9D"/>
    <w:rsid w:val="00017507"/>
    <w:rsid w:val="00025231"/>
    <w:rsid w:val="00026955"/>
    <w:rsid w:val="000342B3"/>
    <w:rsid w:val="000412B1"/>
    <w:rsid w:val="0005159B"/>
    <w:rsid w:val="00051831"/>
    <w:rsid w:val="00051CBD"/>
    <w:rsid w:val="00055583"/>
    <w:rsid w:val="00055AD4"/>
    <w:rsid w:val="00064CC1"/>
    <w:rsid w:val="00065FD6"/>
    <w:rsid w:val="00067096"/>
    <w:rsid w:val="00067D70"/>
    <w:rsid w:val="00071058"/>
    <w:rsid w:val="00073095"/>
    <w:rsid w:val="000756A8"/>
    <w:rsid w:val="000877BD"/>
    <w:rsid w:val="00091769"/>
    <w:rsid w:val="00092631"/>
    <w:rsid w:val="00093AA1"/>
    <w:rsid w:val="000960BE"/>
    <w:rsid w:val="000A6439"/>
    <w:rsid w:val="000A7D03"/>
    <w:rsid w:val="000B1D2F"/>
    <w:rsid w:val="000B39BC"/>
    <w:rsid w:val="000B68B8"/>
    <w:rsid w:val="000B6D09"/>
    <w:rsid w:val="000C4562"/>
    <w:rsid w:val="000D080C"/>
    <w:rsid w:val="000E05CF"/>
    <w:rsid w:val="000E1CE3"/>
    <w:rsid w:val="000E49C8"/>
    <w:rsid w:val="000E657A"/>
    <w:rsid w:val="000F589A"/>
    <w:rsid w:val="000F708D"/>
    <w:rsid w:val="00100599"/>
    <w:rsid w:val="00103995"/>
    <w:rsid w:val="0011651A"/>
    <w:rsid w:val="00123070"/>
    <w:rsid w:val="00123E15"/>
    <w:rsid w:val="00123EA5"/>
    <w:rsid w:val="00125AD1"/>
    <w:rsid w:val="00127458"/>
    <w:rsid w:val="0013731C"/>
    <w:rsid w:val="001463F7"/>
    <w:rsid w:val="0014661C"/>
    <w:rsid w:val="00154C65"/>
    <w:rsid w:val="001611F2"/>
    <w:rsid w:val="00173014"/>
    <w:rsid w:val="00173C23"/>
    <w:rsid w:val="001819C6"/>
    <w:rsid w:val="00182F84"/>
    <w:rsid w:val="001846D6"/>
    <w:rsid w:val="0019397F"/>
    <w:rsid w:val="00193BBF"/>
    <w:rsid w:val="001941A2"/>
    <w:rsid w:val="00196EF6"/>
    <w:rsid w:val="001A1C99"/>
    <w:rsid w:val="001A4112"/>
    <w:rsid w:val="001A54B3"/>
    <w:rsid w:val="001B33A1"/>
    <w:rsid w:val="001C3C11"/>
    <w:rsid w:val="001C6553"/>
    <w:rsid w:val="001C6D49"/>
    <w:rsid w:val="001D18B6"/>
    <w:rsid w:val="001D47FE"/>
    <w:rsid w:val="001D61FF"/>
    <w:rsid w:val="001D6BCF"/>
    <w:rsid w:val="001D75C4"/>
    <w:rsid w:val="001D769F"/>
    <w:rsid w:val="001D7B68"/>
    <w:rsid w:val="001E1908"/>
    <w:rsid w:val="001E4D2F"/>
    <w:rsid w:val="001E771C"/>
    <w:rsid w:val="001F37F8"/>
    <w:rsid w:val="00202AEF"/>
    <w:rsid w:val="00203319"/>
    <w:rsid w:val="00205129"/>
    <w:rsid w:val="002115BB"/>
    <w:rsid w:val="00211A7B"/>
    <w:rsid w:val="00213B38"/>
    <w:rsid w:val="00215060"/>
    <w:rsid w:val="00220B2C"/>
    <w:rsid w:val="0022361F"/>
    <w:rsid w:val="0022723F"/>
    <w:rsid w:val="0023027E"/>
    <w:rsid w:val="00233E2B"/>
    <w:rsid w:val="00236943"/>
    <w:rsid w:val="00242203"/>
    <w:rsid w:val="00246EA4"/>
    <w:rsid w:val="002512B5"/>
    <w:rsid w:val="00257211"/>
    <w:rsid w:val="00262004"/>
    <w:rsid w:val="0026647A"/>
    <w:rsid w:val="00277024"/>
    <w:rsid w:val="002914BE"/>
    <w:rsid w:val="00292A31"/>
    <w:rsid w:val="00296A3B"/>
    <w:rsid w:val="00296D07"/>
    <w:rsid w:val="00297E31"/>
    <w:rsid w:val="002A46F6"/>
    <w:rsid w:val="002A5F48"/>
    <w:rsid w:val="002B68CC"/>
    <w:rsid w:val="002C01CC"/>
    <w:rsid w:val="002C15C4"/>
    <w:rsid w:val="002D0345"/>
    <w:rsid w:val="002D265E"/>
    <w:rsid w:val="002D2BDC"/>
    <w:rsid w:val="002D2D7F"/>
    <w:rsid w:val="002D36EA"/>
    <w:rsid w:val="00305037"/>
    <w:rsid w:val="00307279"/>
    <w:rsid w:val="0031692E"/>
    <w:rsid w:val="00320611"/>
    <w:rsid w:val="00323E35"/>
    <w:rsid w:val="00325FFD"/>
    <w:rsid w:val="003321D0"/>
    <w:rsid w:val="00334A4A"/>
    <w:rsid w:val="00337097"/>
    <w:rsid w:val="003402BF"/>
    <w:rsid w:val="00340E33"/>
    <w:rsid w:val="003412F8"/>
    <w:rsid w:val="00341B6C"/>
    <w:rsid w:val="0035264E"/>
    <w:rsid w:val="00354E7D"/>
    <w:rsid w:val="0035792A"/>
    <w:rsid w:val="00365D94"/>
    <w:rsid w:val="00371B3E"/>
    <w:rsid w:val="0037466F"/>
    <w:rsid w:val="003762D8"/>
    <w:rsid w:val="00382D72"/>
    <w:rsid w:val="00384139"/>
    <w:rsid w:val="0038545A"/>
    <w:rsid w:val="00391B7E"/>
    <w:rsid w:val="00392C08"/>
    <w:rsid w:val="00393331"/>
    <w:rsid w:val="003A25D8"/>
    <w:rsid w:val="003A34CA"/>
    <w:rsid w:val="003A5BFA"/>
    <w:rsid w:val="003A5E01"/>
    <w:rsid w:val="003B1EC3"/>
    <w:rsid w:val="003B2970"/>
    <w:rsid w:val="003B6FDB"/>
    <w:rsid w:val="003C77E7"/>
    <w:rsid w:val="003D0B4A"/>
    <w:rsid w:val="003D2E1F"/>
    <w:rsid w:val="003D3DCB"/>
    <w:rsid w:val="003E057E"/>
    <w:rsid w:val="003E2111"/>
    <w:rsid w:val="003E3190"/>
    <w:rsid w:val="003F2A00"/>
    <w:rsid w:val="003F47F8"/>
    <w:rsid w:val="00400821"/>
    <w:rsid w:val="00401300"/>
    <w:rsid w:val="0040583B"/>
    <w:rsid w:val="00412D06"/>
    <w:rsid w:val="00417F7F"/>
    <w:rsid w:val="00420A78"/>
    <w:rsid w:val="00425B1D"/>
    <w:rsid w:val="00425B3C"/>
    <w:rsid w:val="00431997"/>
    <w:rsid w:val="0043207F"/>
    <w:rsid w:val="004320FA"/>
    <w:rsid w:val="00432475"/>
    <w:rsid w:val="00440E5A"/>
    <w:rsid w:val="00442CE6"/>
    <w:rsid w:val="004436D2"/>
    <w:rsid w:val="00457DD9"/>
    <w:rsid w:val="004603C5"/>
    <w:rsid w:val="00465C60"/>
    <w:rsid w:val="00466026"/>
    <w:rsid w:val="0047257E"/>
    <w:rsid w:val="00474665"/>
    <w:rsid w:val="004757D2"/>
    <w:rsid w:val="0048246A"/>
    <w:rsid w:val="00485EE3"/>
    <w:rsid w:val="00490122"/>
    <w:rsid w:val="004921D2"/>
    <w:rsid w:val="0049608B"/>
    <w:rsid w:val="00497F0F"/>
    <w:rsid w:val="004A041C"/>
    <w:rsid w:val="004A262B"/>
    <w:rsid w:val="004A4983"/>
    <w:rsid w:val="004A6198"/>
    <w:rsid w:val="004B1762"/>
    <w:rsid w:val="004B1780"/>
    <w:rsid w:val="004B1EE4"/>
    <w:rsid w:val="004B4351"/>
    <w:rsid w:val="004C0A8F"/>
    <w:rsid w:val="004C1F50"/>
    <w:rsid w:val="004D5E44"/>
    <w:rsid w:val="004E4363"/>
    <w:rsid w:val="004F3BBF"/>
    <w:rsid w:val="004F5D2C"/>
    <w:rsid w:val="00501973"/>
    <w:rsid w:val="00501B16"/>
    <w:rsid w:val="00505432"/>
    <w:rsid w:val="00511E57"/>
    <w:rsid w:val="005154EB"/>
    <w:rsid w:val="0052019F"/>
    <w:rsid w:val="00520895"/>
    <w:rsid w:val="005217C1"/>
    <w:rsid w:val="0053033A"/>
    <w:rsid w:val="00531A01"/>
    <w:rsid w:val="0053696E"/>
    <w:rsid w:val="00536E34"/>
    <w:rsid w:val="0054673B"/>
    <w:rsid w:val="005479A5"/>
    <w:rsid w:val="005562AC"/>
    <w:rsid w:val="0055669F"/>
    <w:rsid w:val="00557597"/>
    <w:rsid w:val="0056078A"/>
    <w:rsid w:val="00566140"/>
    <w:rsid w:val="00572316"/>
    <w:rsid w:val="0057595A"/>
    <w:rsid w:val="00577EE7"/>
    <w:rsid w:val="00591856"/>
    <w:rsid w:val="00594695"/>
    <w:rsid w:val="005A7B93"/>
    <w:rsid w:val="005B4C91"/>
    <w:rsid w:val="005B51FA"/>
    <w:rsid w:val="005B7296"/>
    <w:rsid w:val="005C1363"/>
    <w:rsid w:val="005C52AC"/>
    <w:rsid w:val="005C6480"/>
    <w:rsid w:val="005D1F7E"/>
    <w:rsid w:val="005D2EFF"/>
    <w:rsid w:val="005D3266"/>
    <w:rsid w:val="005D3A41"/>
    <w:rsid w:val="005D3E28"/>
    <w:rsid w:val="005D786F"/>
    <w:rsid w:val="005D7C8B"/>
    <w:rsid w:val="005E144F"/>
    <w:rsid w:val="005E32E4"/>
    <w:rsid w:val="005E4D9D"/>
    <w:rsid w:val="005E4EE4"/>
    <w:rsid w:val="005E6FAE"/>
    <w:rsid w:val="005F3564"/>
    <w:rsid w:val="00600F71"/>
    <w:rsid w:val="00601060"/>
    <w:rsid w:val="00601443"/>
    <w:rsid w:val="00602429"/>
    <w:rsid w:val="00605306"/>
    <w:rsid w:val="00610D1F"/>
    <w:rsid w:val="006122DF"/>
    <w:rsid w:val="00614A19"/>
    <w:rsid w:val="00615033"/>
    <w:rsid w:val="00627C17"/>
    <w:rsid w:val="00635495"/>
    <w:rsid w:val="0063561E"/>
    <w:rsid w:val="00641E05"/>
    <w:rsid w:val="00643DBB"/>
    <w:rsid w:val="00647887"/>
    <w:rsid w:val="0066156D"/>
    <w:rsid w:val="00662234"/>
    <w:rsid w:val="006641E5"/>
    <w:rsid w:val="00673C8D"/>
    <w:rsid w:val="006756FE"/>
    <w:rsid w:val="0068119D"/>
    <w:rsid w:val="0068150E"/>
    <w:rsid w:val="006850AC"/>
    <w:rsid w:val="00686538"/>
    <w:rsid w:val="00690FE9"/>
    <w:rsid w:val="00691F25"/>
    <w:rsid w:val="006926B9"/>
    <w:rsid w:val="006949E3"/>
    <w:rsid w:val="00696653"/>
    <w:rsid w:val="006A1710"/>
    <w:rsid w:val="006B1061"/>
    <w:rsid w:val="006B439B"/>
    <w:rsid w:val="006B7789"/>
    <w:rsid w:val="006C022A"/>
    <w:rsid w:val="006C02E0"/>
    <w:rsid w:val="006C1BCE"/>
    <w:rsid w:val="006D1F2E"/>
    <w:rsid w:val="006E4B08"/>
    <w:rsid w:val="006E5E06"/>
    <w:rsid w:val="006E7D56"/>
    <w:rsid w:val="006F10B8"/>
    <w:rsid w:val="006F35D6"/>
    <w:rsid w:val="006F3C67"/>
    <w:rsid w:val="0070182C"/>
    <w:rsid w:val="00706171"/>
    <w:rsid w:val="00706649"/>
    <w:rsid w:val="0070733E"/>
    <w:rsid w:val="00713226"/>
    <w:rsid w:val="0071536F"/>
    <w:rsid w:val="00716A3C"/>
    <w:rsid w:val="007176FE"/>
    <w:rsid w:val="00717920"/>
    <w:rsid w:val="007202A1"/>
    <w:rsid w:val="007234B1"/>
    <w:rsid w:val="00725C06"/>
    <w:rsid w:val="0072765D"/>
    <w:rsid w:val="00731777"/>
    <w:rsid w:val="00732A22"/>
    <w:rsid w:val="00732B17"/>
    <w:rsid w:val="00740C8E"/>
    <w:rsid w:val="00750276"/>
    <w:rsid w:val="00755CA3"/>
    <w:rsid w:val="00756F66"/>
    <w:rsid w:val="00770CCE"/>
    <w:rsid w:val="007717AA"/>
    <w:rsid w:val="007820AD"/>
    <w:rsid w:val="00784AC7"/>
    <w:rsid w:val="00785A8C"/>
    <w:rsid w:val="00787A5B"/>
    <w:rsid w:val="00790734"/>
    <w:rsid w:val="00795AF3"/>
    <w:rsid w:val="007965AF"/>
    <w:rsid w:val="00796E45"/>
    <w:rsid w:val="00797F2E"/>
    <w:rsid w:val="007A1F72"/>
    <w:rsid w:val="007A3A73"/>
    <w:rsid w:val="007B028C"/>
    <w:rsid w:val="007B4E22"/>
    <w:rsid w:val="007B7A1C"/>
    <w:rsid w:val="007C29E0"/>
    <w:rsid w:val="007C7952"/>
    <w:rsid w:val="007D3665"/>
    <w:rsid w:val="007E1AAC"/>
    <w:rsid w:val="007E1BCF"/>
    <w:rsid w:val="007E346D"/>
    <w:rsid w:val="007F0CB1"/>
    <w:rsid w:val="007F1047"/>
    <w:rsid w:val="007F5632"/>
    <w:rsid w:val="007F71E3"/>
    <w:rsid w:val="008007EE"/>
    <w:rsid w:val="00803C55"/>
    <w:rsid w:val="0080603F"/>
    <w:rsid w:val="0081009A"/>
    <w:rsid w:val="00817EA6"/>
    <w:rsid w:val="00823AED"/>
    <w:rsid w:val="00825933"/>
    <w:rsid w:val="00826E80"/>
    <w:rsid w:val="00834525"/>
    <w:rsid w:val="00836024"/>
    <w:rsid w:val="00857A44"/>
    <w:rsid w:val="008614D6"/>
    <w:rsid w:val="0086310C"/>
    <w:rsid w:val="00864C13"/>
    <w:rsid w:val="00867F40"/>
    <w:rsid w:val="00874B04"/>
    <w:rsid w:val="00882765"/>
    <w:rsid w:val="00883CD3"/>
    <w:rsid w:val="0088755D"/>
    <w:rsid w:val="00890025"/>
    <w:rsid w:val="0089277D"/>
    <w:rsid w:val="008934D6"/>
    <w:rsid w:val="008936A4"/>
    <w:rsid w:val="00894385"/>
    <w:rsid w:val="0089529F"/>
    <w:rsid w:val="008A172B"/>
    <w:rsid w:val="008A2D93"/>
    <w:rsid w:val="008A5C1B"/>
    <w:rsid w:val="008A6ECA"/>
    <w:rsid w:val="008B2AF5"/>
    <w:rsid w:val="008B3AF9"/>
    <w:rsid w:val="008B5CBC"/>
    <w:rsid w:val="008C2E39"/>
    <w:rsid w:val="008C30C1"/>
    <w:rsid w:val="008C3211"/>
    <w:rsid w:val="008C43E7"/>
    <w:rsid w:val="008C4A58"/>
    <w:rsid w:val="008C60F9"/>
    <w:rsid w:val="008C6931"/>
    <w:rsid w:val="008C6EA7"/>
    <w:rsid w:val="008C6EC4"/>
    <w:rsid w:val="008C7243"/>
    <w:rsid w:val="008C7E28"/>
    <w:rsid w:val="008D0677"/>
    <w:rsid w:val="008D1F22"/>
    <w:rsid w:val="008D34DB"/>
    <w:rsid w:val="008D7DCC"/>
    <w:rsid w:val="008E36C2"/>
    <w:rsid w:val="008E7683"/>
    <w:rsid w:val="008F5572"/>
    <w:rsid w:val="008F67B2"/>
    <w:rsid w:val="009008D7"/>
    <w:rsid w:val="009010C3"/>
    <w:rsid w:val="00912C97"/>
    <w:rsid w:val="00916775"/>
    <w:rsid w:val="00921A70"/>
    <w:rsid w:val="00921E1A"/>
    <w:rsid w:val="009277B7"/>
    <w:rsid w:val="00927D2F"/>
    <w:rsid w:val="009364E4"/>
    <w:rsid w:val="00944506"/>
    <w:rsid w:val="009465DD"/>
    <w:rsid w:val="00955A08"/>
    <w:rsid w:val="0096491A"/>
    <w:rsid w:val="00964FAB"/>
    <w:rsid w:val="009674D9"/>
    <w:rsid w:val="00975FC9"/>
    <w:rsid w:val="00985099"/>
    <w:rsid w:val="00991C5D"/>
    <w:rsid w:val="0099224D"/>
    <w:rsid w:val="009953C1"/>
    <w:rsid w:val="009A23AD"/>
    <w:rsid w:val="009A5FE4"/>
    <w:rsid w:val="009B39EC"/>
    <w:rsid w:val="009C58CD"/>
    <w:rsid w:val="009D37A0"/>
    <w:rsid w:val="009D3B94"/>
    <w:rsid w:val="009D4C2F"/>
    <w:rsid w:val="009D7B9F"/>
    <w:rsid w:val="009F49BE"/>
    <w:rsid w:val="00A0054E"/>
    <w:rsid w:val="00A019B4"/>
    <w:rsid w:val="00A03063"/>
    <w:rsid w:val="00A054A0"/>
    <w:rsid w:val="00A11CE7"/>
    <w:rsid w:val="00A11FD4"/>
    <w:rsid w:val="00A14B3E"/>
    <w:rsid w:val="00A1790D"/>
    <w:rsid w:val="00A2387B"/>
    <w:rsid w:val="00A23F51"/>
    <w:rsid w:val="00A2511B"/>
    <w:rsid w:val="00A26A5B"/>
    <w:rsid w:val="00A31B0D"/>
    <w:rsid w:val="00A3294E"/>
    <w:rsid w:val="00A3545A"/>
    <w:rsid w:val="00A36C03"/>
    <w:rsid w:val="00A40EB8"/>
    <w:rsid w:val="00A55807"/>
    <w:rsid w:val="00A70C71"/>
    <w:rsid w:val="00A70E38"/>
    <w:rsid w:val="00A72871"/>
    <w:rsid w:val="00A74653"/>
    <w:rsid w:val="00A80D1A"/>
    <w:rsid w:val="00A83241"/>
    <w:rsid w:val="00A86946"/>
    <w:rsid w:val="00A914AC"/>
    <w:rsid w:val="00AA099C"/>
    <w:rsid w:val="00AA2D7A"/>
    <w:rsid w:val="00AA79B4"/>
    <w:rsid w:val="00AB0DE2"/>
    <w:rsid w:val="00AB3854"/>
    <w:rsid w:val="00AB5714"/>
    <w:rsid w:val="00AC1FCC"/>
    <w:rsid w:val="00AC7E0B"/>
    <w:rsid w:val="00AD637F"/>
    <w:rsid w:val="00AE3D98"/>
    <w:rsid w:val="00AF4D89"/>
    <w:rsid w:val="00AF4D9F"/>
    <w:rsid w:val="00AF67F8"/>
    <w:rsid w:val="00AF687E"/>
    <w:rsid w:val="00B02913"/>
    <w:rsid w:val="00B03E93"/>
    <w:rsid w:val="00B12524"/>
    <w:rsid w:val="00B1326B"/>
    <w:rsid w:val="00B304A9"/>
    <w:rsid w:val="00B30B8E"/>
    <w:rsid w:val="00B33B64"/>
    <w:rsid w:val="00B35856"/>
    <w:rsid w:val="00B37FB8"/>
    <w:rsid w:val="00B406FC"/>
    <w:rsid w:val="00B40A59"/>
    <w:rsid w:val="00B45220"/>
    <w:rsid w:val="00B45FF8"/>
    <w:rsid w:val="00B47E83"/>
    <w:rsid w:val="00B5323E"/>
    <w:rsid w:val="00B53808"/>
    <w:rsid w:val="00B54532"/>
    <w:rsid w:val="00B60FD8"/>
    <w:rsid w:val="00B64F17"/>
    <w:rsid w:val="00B65A58"/>
    <w:rsid w:val="00B67130"/>
    <w:rsid w:val="00B71304"/>
    <w:rsid w:val="00B726CA"/>
    <w:rsid w:val="00B74F7F"/>
    <w:rsid w:val="00B77EBE"/>
    <w:rsid w:val="00B839DC"/>
    <w:rsid w:val="00B87C1C"/>
    <w:rsid w:val="00BA2A58"/>
    <w:rsid w:val="00BA4AD2"/>
    <w:rsid w:val="00BB0549"/>
    <w:rsid w:val="00BB4F9D"/>
    <w:rsid w:val="00BC0734"/>
    <w:rsid w:val="00BC7C3A"/>
    <w:rsid w:val="00BD662C"/>
    <w:rsid w:val="00BD66E7"/>
    <w:rsid w:val="00BE1ECE"/>
    <w:rsid w:val="00BE4417"/>
    <w:rsid w:val="00BF3159"/>
    <w:rsid w:val="00C0417B"/>
    <w:rsid w:val="00C05AC5"/>
    <w:rsid w:val="00C148D7"/>
    <w:rsid w:val="00C166C8"/>
    <w:rsid w:val="00C23934"/>
    <w:rsid w:val="00C23C10"/>
    <w:rsid w:val="00C277D0"/>
    <w:rsid w:val="00C311F5"/>
    <w:rsid w:val="00C32A49"/>
    <w:rsid w:val="00C331FF"/>
    <w:rsid w:val="00C3507D"/>
    <w:rsid w:val="00C417A6"/>
    <w:rsid w:val="00C4452D"/>
    <w:rsid w:val="00C446FB"/>
    <w:rsid w:val="00C448CD"/>
    <w:rsid w:val="00C55E1E"/>
    <w:rsid w:val="00C7347E"/>
    <w:rsid w:val="00C7531D"/>
    <w:rsid w:val="00C75498"/>
    <w:rsid w:val="00C75CE2"/>
    <w:rsid w:val="00C8583A"/>
    <w:rsid w:val="00C85F14"/>
    <w:rsid w:val="00C87B00"/>
    <w:rsid w:val="00C9411C"/>
    <w:rsid w:val="00C9442F"/>
    <w:rsid w:val="00C97EE3"/>
    <w:rsid w:val="00CA0D96"/>
    <w:rsid w:val="00CA468D"/>
    <w:rsid w:val="00CA4A7B"/>
    <w:rsid w:val="00CA72FC"/>
    <w:rsid w:val="00CB483C"/>
    <w:rsid w:val="00CB492A"/>
    <w:rsid w:val="00CB65A4"/>
    <w:rsid w:val="00CC1314"/>
    <w:rsid w:val="00CC2588"/>
    <w:rsid w:val="00CC2783"/>
    <w:rsid w:val="00CC3366"/>
    <w:rsid w:val="00CD4877"/>
    <w:rsid w:val="00CD5836"/>
    <w:rsid w:val="00CD7C0D"/>
    <w:rsid w:val="00CE06B1"/>
    <w:rsid w:val="00CE3618"/>
    <w:rsid w:val="00CE767C"/>
    <w:rsid w:val="00CE7816"/>
    <w:rsid w:val="00CF1A53"/>
    <w:rsid w:val="00CF5DC9"/>
    <w:rsid w:val="00D10197"/>
    <w:rsid w:val="00D105C3"/>
    <w:rsid w:val="00D12549"/>
    <w:rsid w:val="00D13DA9"/>
    <w:rsid w:val="00D23077"/>
    <w:rsid w:val="00D23C25"/>
    <w:rsid w:val="00D250BF"/>
    <w:rsid w:val="00D33596"/>
    <w:rsid w:val="00D36131"/>
    <w:rsid w:val="00D37DAF"/>
    <w:rsid w:val="00D42A07"/>
    <w:rsid w:val="00D524C1"/>
    <w:rsid w:val="00D5731B"/>
    <w:rsid w:val="00D57F75"/>
    <w:rsid w:val="00D6246F"/>
    <w:rsid w:val="00D64FAD"/>
    <w:rsid w:val="00D6573F"/>
    <w:rsid w:val="00D72444"/>
    <w:rsid w:val="00D77F1F"/>
    <w:rsid w:val="00D81D04"/>
    <w:rsid w:val="00D83EA9"/>
    <w:rsid w:val="00D935DB"/>
    <w:rsid w:val="00D956D6"/>
    <w:rsid w:val="00DA03A2"/>
    <w:rsid w:val="00DA3CE6"/>
    <w:rsid w:val="00DA6E58"/>
    <w:rsid w:val="00DA76CA"/>
    <w:rsid w:val="00DA7A73"/>
    <w:rsid w:val="00DB107D"/>
    <w:rsid w:val="00DD1B41"/>
    <w:rsid w:val="00DD1D3E"/>
    <w:rsid w:val="00DD2D2F"/>
    <w:rsid w:val="00DD2F8D"/>
    <w:rsid w:val="00DE10EE"/>
    <w:rsid w:val="00DF433A"/>
    <w:rsid w:val="00DF6738"/>
    <w:rsid w:val="00DF7BC3"/>
    <w:rsid w:val="00E02C77"/>
    <w:rsid w:val="00E043A4"/>
    <w:rsid w:val="00E0746D"/>
    <w:rsid w:val="00E17E6D"/>
    <w:rsid w:val="00E21320"/>
    <w:rsid w:val="00E24DB6"/>
    <w:rsid w:val="00E326E0"/>
    <w:rsid w:val="00E45835"/>
    <w:rsid w:val="00E47977"/>
    <w:rsid w:val="00E514FC"/>
    <w:rsid w:val="00E5348E"/>
    <w:rsid w:val="00E53A52"/>
    <w:rsid w:val="00E61DDC"/>
    <w:rsid w:val="00E6771F"/>
    <w:rsid w:val="00E70A9C"/>
    <w:rsid w:val="00E73288"/>
    <w:rsid w:val="00E84234"/>
    <w:rsid w:val="00E85164"/>
    <w:rsid w:val="00E85C5B"/>
    <w:rsid w:val="00E86AEA"/>
    <w:rsid w:val="00E952BB"/>
    <w:rsid w:val="00E957CC"/>
    <w:rsid w:val="00E95D7D"/>
    <w:rsid w:val="00E96894"/>
    <w:rsid w:val="00EA1394"/>
    <w:rsid w:val="00EA7672"/>
    <w:rsid w:val="00EB3A4E"/>
    <w:rsid w:val="00EB7155"/>
    <w:rsid w:val="00EC7053"/>
    <w:rsid w:val="00EC7885"/>
    <w:rsid w:val="00ED5CB5"/>
    <w:rsid w:val="00EE31EA"/>
    <w:rsid w:val="00EE35DD"/>
    <w:rsid w:val="00EE4AC9"/>
    <w:rsid w:val="00EF1636"/>
    <w:rsid w:val="00EF415C"/>
    <w:rsid w:val="00F04EEE"/>
    <w:rsid w:val="00F059B6"/>
    <w:rsid w:val="00F128D5"/>
    <w:rsid w:val="00F13D19"/>
    <w:rsid w:val="00F13F30"/>
    <w:rsid w:val="00F22EDA"/>
    <w:rsid w:val="00F246AE"/>
    <w:rsid w:val="00F25FA4"/>
    <w:rsid w:val="00F313DB"/>
    <w:rsid w:val="00F34912"/>
    <w:rsid w:val="00F51F3B"/>
    <w:rsid w:val="00F52297"/>
    <w:rsid w:val="00F52AF9"/>
    <w:rsid w:val="00F57D11"/>
    <w:rsid w:val="00F603BE"/>
    <w:rsid w:val="00F62F4A"/>
    <w:rsid w:val="00F63CF0"/>
    <w:rsid w:val="00F65A1C"/>
    <w:rsid w:val="00F66946"/>
    <w:rsid w:val="00F67136"/>
    <w:rsid w:val="00F8122A"/>
    <w:rsid w:val="00F82484"/>
    <w:rsid w:val="00F830CD"/>
    <w:rsid w:val="00F93D53"/>
    <w:rsid w:val="00F974A4"/>
    <w:rsid w:val="00FA0187"/>
    <w:rsid w:val="00FA5118"/>
    <w:rsid w:val="00FA70C6"/>
    <w:rsid w:val="00FB1FEE"/>
    <w:rsid w:val="00FB3B4D"/>
    <w:rsid w:val="00FD02F1"/>
    <w:rsid w:val="00FD2199"/>
    <w:rsid w:val="00FD3F0E"/>
    <w:rsid w:val="00FD4BE8"/>
    <w:rsid w:val="00FE42C5"/>
    <w:rsid w:val="00FE5AE5"/>
    <w:rsid w:val="00FE62D6"/>
    <w:rsid w:val="00FE6B0D"/>
    <w:rsid w:val="00FE703D"/>
    <w:rsid w:val="00FF071F"/>
    <w:rsid w:val="00FF2DAB"/>
    <w:rsid w:val="00FF361A"/>
    <w:rsid w:val="00FF66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19"/>
    <w:rPr>
      <w:sz w:val="24"/>
      <w:szCs w:val="24"/>
    </w:rPr>
  </w:style>
  <w:style w:type="paragraph" w:styleId="Heading3">
    <w:name w:val="heading 3"/>
    <w:basedOn w:val="Normal"/>
    <w:next w:val="Normal"/>
    <w:link w:val="Heading3Char"/>
    <w:uiPriority w:val="99"/>
    <w:qFormat/>
    <w:locked/>
    <w:rsid w:val="005217C1"/>
    <w:pPr>
      <w:keepNext/>
      <w:spacing w:before="240" w:after="60"/>
      <w:outlineLvl w:val="2"/>
    </w:pPr>
    <w:rPr>
      <w:rFonts w:ascii="Arial" w:hAnsi="Arial" w:cs="Arial"/>
      <w:b/>
      <w:bCs/>
      <w:sz w:val="26"/>
      <w:szCs w:val="26"/>
    </w:rPr>
  </w:style>
  <w:style w:type="paragraph" w:styleId="Heading8">
    <w:name w:val="heading 8"/>
    <w:basedOn w:val="Normal"/>
    <w:next w:val="Normal"/>
    <w:link w:val="Heading8Char"/>
    <w:uiPriority w:val="99"/>
    <w:qFormat/>
    <w:rsid w:val="007B028C"/>
    <w:pPr>
      <w:keepNext/>
      <w:outlineLvl w:val="7"/>
    </w:pPr>
    <w:rPr>
      <w:b/>
      <w:bCs/>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51CBD"/>
    <w:rPr>
      <w:rFonts w:ascii="Cambria" w:hAnsi="Cambria" w:cs="Times New Roman"/>
      <w:b/>
      <w:bCs/>
      <w:sz w:val="26"/>
      <w:szCs w:val="26"/>
    </w:rPr>
  </w:style>
  <w:style w:type="character" w:customStyle="1" w:styleId="Heading8Char">
    <w:name w:val="Heading 8 Char"/>
    <w:basedOn w:val="DefaultParagraphFont"/>
    <w:link w:val="Heading8"/>
    <w:uiPriority w:val="99"/>
    <w:locked/>
    <w:rsid w:val="007B028C"/>
    <w:rPr>
      <w:rFonts w:cs="Times New Roman"/>
      <w:b/>
      <w:sz w:val="36"/>
      <w:lang w:val="en-US" w:eastAsia="en-US"/>
    </w:rPr>
  </w:style>
  <w:style w:type="paragraph" w:customStyle="1" w:styleId="CharChar1Char">
    <w:name w:val="Char Char1 Char"/>
    <w:basedOn w:val="Normal"/>
    <w:uiPriority w:val="99"/>
    <w:rsid w:val="007E1BCF"/>
    <w:pPr>
      <w:spacing w:after="160" w:line="240" w:lineRule="exact"/>
    </w:pPr>
    <w:rPr>
      <w:rFonts w:ascii="Tahoma" w:hAnsi="Tahoma" w:cs="Tahoma"/>
      <w:sz w:val="20"/>
      <w:szCs w:val="20"/>
    </w:rPr>
  </w:style>
  <w:style w:type="character" w:styleId="Strong">
    <w:name w:val="Strong"/>
    <w:basedOn w:val="DefaultParagraphFont"/>
    <w:uiPriority w:val="99"/>
    <w:qFormat/>
    <w:rsid w:val="00D23077"/>
    <w:rPr>
      <w:rFonts w:cs="Times New Roman"/>
      <w:b/>
    </w:rPr>
  </w:style>
  <w:style w:type="character" w:customStyle="1" w:styleId="Bodytext5">
    <w:name w:val="Body text (5)_"/>
    <w:link w:val="Bodytext50"/>
    <w:uiPriority w:val="99"/>
    <w:locked/>
    <w:rsid w:val="006122DF"/>
    <w:rPr>
      <w:rFonts w:eastAsia="Times New Roman"/>
      <w:sz w:val="13"/>
      <w:shd w:val="clear" w:color="auto" w:fill="FFFFFF"/>
      <w:lang w:val="en-US"/>
    </w:rPr>
  </w:style>
  <w:style w:type="paragraph" w:customStyle="1" w:styleId="Bodytext50">
    <w:name w:val="Body text (5)"/>
    <w:basedOn w:val="Normal"/>
    <w:link w:val="Bodytext5"/>
    <w:uiPriority w:val="99"/>
    <w:rsid w:val="006122DF"/>
    <w:pPr>
      <w:shd w:val="clear" w:color="auto" w:fill="FFFFFF"/>
      <w:spacing w:line="187" w:lineRule="exact"/>
      <w:jc w:val="both"/>
    </w:pPr>
    <w:rPr>
      <w:sz w:val="13"/>
      <w:szCs w:val="20"/>
    </w:rPr>
  </w:style>
  <w:style w:type="paragraph" w:styleId="BalloonText">
    <w:name w:val="Balloon Text"/>
    <w:basedOn w:val="Normal"/>
    <w:link w:val="BalloonTextChar"/>
    <w:uiPriority w:val="99"/>
    <w:rsid w:val="000008F6"/>
    <w:rPr>
      <w:rFonts w:ascii="Tahoma" w:hAnsi="Tahoma" w:cs="Tahoma"/>
      <w:sz w:val="16"/>
      <w:szCs w:val="16"/>
    </w:rPr>
  </w:style>
  <w:style w:type="character" w:customStyle="1" w:styleId="BalloonTextChar">
    <w:name w:val="Balloon Text Char"/>
    <w:basedOn w:val="DefaultParagraphFont"/>
    <w:link w:val="BalloonText"/>
    <w:uiPriority w:val="99"/>
    <w:locked/>
    <w:rsid w:val="000008F6"/>
    <w:rPr>
      <w:rFonts w:ascii="Tahoma" w:hAnsi="Tahoma" w:cs="Tahoma"/>
      <w:sz w:val="16"/>
      <w:szCs w:val="16"/>
      <w:lang w:val="en-US" w:eastAsia="en-US"/>
    </w:rPr>
  </w:style>
  <w:style w:type="paragraph" w:styleId="ListParagraph">
    <w:name w:val="List Paragraph"/>
    <w:basedOn w:val="Normal"/>
    <w:uiPriority w:val="99"/>
    <w:qFormat/>
    <w:rsid w:val="00DD2D2F"/>
    <w:pPr>
      <w:ind w:left="720"/>
      <w:contextualSpacing/>
    </w:pPr>
  </w:style>
  <w:style w:type="character" w:styleId="Hyperlink">
    <w:name w:val="Hyperlink"/>
    <w:basedOn w:val="DefaultParagraphFont"/>
    <w:uiPriority w:val="99"/>
    <w:rsid w:val="000756A8"/>
    <w:rPr>
      <w:rFonts w:cs="Times New Roman"/>
      <w:color w:val="0000FF"/>
      <w:u w:val="single"/>
    </w:rPr>
  </w:style>
  <w:style w:type="character" w:customStyle="1" w:styleId="apple-converted-space">
    <w:name w:val="apple-converted-space"/>
    <w:basedOn w:val="DefaultParagraphFont"/>
    <w:uiPriority w:val="99"/>
    <w:rsid w:val="00787A5B"/>
    <w:rPr>
      <w:rFonts w:cs="Times New Roman"/>
    </w:rPr>
  </w:style>
  <w:style w:type="paragraph" w:styleId="NormalWeb">
    <w:name w:val="Normal (Web)"/>
    <w:basedOn w:val="Normal"/>
    <w:uiPriority w:val="99"/>
    <w:rsid w:val="00F66946"/>
    <w:pPr>
      <w:spacing w:before="100" w:beforeAutospacing="1" w:after="119"/>
    </w:pPr>
    <w:rPr>
      <w:lang w:val="bg-BG" w:eastAsia="bg-BG"/>
    </w:rPr>
  </w:style>
  <w:style w:type="paragraph" w:styleId="HTMLPreformatted">
    <w:name w:val="HTML Preformatted"/>
    <w:basedOn w:val="Normal"/>
    <w:link w:val="HTMLPreformattedChar"/>
    <w:uiPriority w:val="99"/>
    <w:rsid w:val="009953C1"/>
    <w:rPr>
      <w:rFonts w:ascii="Consolas" w:hAnsi="Consolas"/>
      <w:sz w:val="20"/>
      <w:szCs w:val="20"/>
    </w:rPr>
  </w:style>
  <w:style w:type="character" w:customStyle="1" w:styleId="HTMLPreformattedChar">
    <w:name w:val="HTML Preformatted Char"/>
    <w:basedOn w:val="DefaultParagraphFont"/>
    <w:link w:val="HTMLPreformatted"/>
    <w:uiPriority w:val="99"/>
    <w:locked/>
    <w:rsid w:val="009953C1"/>
    <w:rPr>
      <w:rFonts w:ascii="Consolas" w:hAnsi="Consolas" w:cs="Times New Roman"/>
      <w:sz w:val="20"/>
      <w:szCs w:val="20"/>
    </w:rPr>
  </w:style>
  <w:style w:type="character" w:styleId="Emphasis">
    <w:name w:val="Emphasis"/>
    <w:basedOn w:val="DefaultParagraphFont"/>
    <w:uiPriority w:val="99"/>
    <w:qFormat/>
    <w:locked/>
    <w:rsid w:val="00B77EBE"/>
    <w:rPr>
      <w:rFonts w:cs="Times New Roman"/>
      <w:i/>
      <w:iCs/>
    </w:rPr>
  </w:style>
  <w:style w:type="character" w:customStyle="1" w:styleId="il">
    <w:name w:val="il"/>
    <w:basedOn w:val="DefaultParagraphFont"/>
    <w:uiPriority w:val="99"/>
    <w:rsid w:val="00F22EDA"/>
    <w:rPr>
      <w:rFonts w:cs="Times New Roman"/>
    </w:rPr>
  </w:style>
  <w:style w:type="paragraph" w:customStyle="1" w:styleId="Default">
    <w:name w:val="Default"/>
    <w:uiPriority w:val="99"/>
    <w:rsid w:val="000A6439"/>
    <w:pPr>
      <w:autoSpaceDE w:val="0"/>
      <w:autoSpaceDN w:val="0"/>
      <w:adjustRightInd w:val="0"/>
      <w:jc w:val="both"/>
    </w:pPr>
    <w:rPr>
      <w:rFonts w:ascii="Verdana" w:hAnsi="Verdana" w:cs="Verdana"/>
      <w:color w:val="000000"/>
      <w:sz w:val="24"/>
      <w:szCs w:val="24"/>
      <w:lang w:val="bg-BG"/>
    </w:rPr>
  </w:style>
  <w:style w:type="paragraph" w:styleId="PlainText">
    <w:name w:val="Plain Text"/>
    <w:basedOn w:val="Normal"/>
    <w:link w:val="PlainTextChar"/>
    <w:uiPriority w:val="99"/>
    <w:semiHidden/>
    <w:rsid w:val="000A6439"/>
    <w:pPr>
      <w:jc w:val="both"/>
    </w:pPr>
    <w:rPr>
      <w:rFonts w:ascii="Calibri" w:hAnsi="Calibri" w:cs="Calibri"/>
      <w:sz w:val="22"/>
      <w:szCs w:val="22"/>
      <w:lang w:val="bg-BG"/>
    </w:rPr>
  </w:style>
  <w:style w:type="character" w:customStyle="1" w:styleId="PlainTextChar">
    <w:name w:val="Plain Text Char"/>
    <w:basedOn w:val="DefaultParagraphFont"/>
    <w:link w:val="PlainText"/>
    <w:uiPriority w:val="99"/>
    <w:semiHidden/>
    <w:locked/>
    <w:rsid w:val="000A6439"/>
    <w:rPr>
      <w:rFonts w:ascii="Calibri" w:hAnsi="Calibri" w:cs="Calibri"/>
      <w:lang w:val="bg-BG"/>
    </w:rPr>
  </w:style>
  <w:style w:type="paragraph" w:customStyle="1" w:styleId="ydp259baa16msonormal">
    <w:name w:val="ydp259baa16msonormal"/>
    <w:basedOn w:val="Normal"/>
    <w:uiPriority w:val="99"/>
    <w:rsid w:val="000A6439"/>
    <w:pPr>
      <w:jc w:val="both"/>
    </w:pPr>
    <w:rPr>
      <w:rFonts w:ascii="Calibri" w:hAnsi="Calibri"/>
    </w:rPr>
  </w:style>
  <w:style w:type="paragraph" w:styleId="Header">
    <w:name w:val="header"/>
    <w:basedOn w:val="Normal"/>
    <w:link w:val="HeaderChar"/>
    <w:uiPriority w:val="99"/>
    <w:semiHidden/>
    <w:rsid w:val="00103995"/>
    <w:pPr>
      <w:tabs>
        <w:tab w:val="center" w:pos="4680"/>
        <w:tab w:val="right" w:pos="9360"/>
      </w:tabs>
    </w:pPr>
  </w:style>
  <w:style w:type="character" w:customStyle="1" w:styleId="HeaderChar">
    <w:name w:val="Header Char"/>
    <w:basedOn w:val="DefaultParagraphFont"/>
    <w:link w:val="Header"/>
    <w:uiPriority w:val="99"/>
    <w:semiHidden/>
    <w:locked/>
    <w:rsid w:val="00103995"/>
    <w:rPr>
      <w:rFonts w:cs="Times New Roman"/>
      <w:sz w:val="24"/>
      <w:szCs w:val="24"/>
    </w:rPr>
  </w:style>
  <w:style w:type="paragraph" w:styleId="Footer">
    <w:name w:val="footer"/>
    <w:basedOn w:val="Normal"/>
    <w:link w:val="FooterChar"/>
    <w:uiPriority w:val="99"/>
    <w:rsid w:val="00103995"/>
    <w:pPr>
      <w:tabs>
        <w:tab w:val="center" w:pos="4680"/>
        <w:tab w:val="right" w:pos="9360"/>
      </w:tabs>
    </w:pPr>
  </w:style>
  <w:style w:type="character" w:customStyle="1" w:styleId="FooterChar">
    <w:name w:val="Footer Char"/>
    <w:basedOn w:val="DefaultParagraphFont"/>
    <w:link w:val="Footer"/>
    <w:uiPriority w:val="99"/>
    <w:locked/>
    <w:rsid w:val="00103995"/>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990790178">
      <w:marLeft w:val="0"/>
      <w:marRight w:val="0"/>
      <w:marTop w:val="0"/>
      <w:marBottom w:val="0"/>
      <w:divBdr>
        <w:top w:val="none" w:sz="0" w:space="0" w:color="auto"/>
        <w:left w:val="none" w:sz="0" w:space="0" w:color="auto"/>
        <w:bottom w:val="none" w:sz="0" w:space="0" w:color="auto"/>
        <w:right w:val="none" w:sz="0" w:space="0" w:color="auto"/>
      </w:divBdr>
    </w:div>
    <w:div w:id="990790179">
      <w:marLeft w:val="0"/>
      <w:marRight w:val="0"/>
      <w:marTop w:val="0"/>
      <w:marBottom w:val="0"/>
      <w:divBdr>
        <w:top w:val="none" w:sz="0" w:space="0" w:color="auto"/>
        <w:left w:val="none" w:sz="0" w:space="0" w:color="auto"/>
        <w:bottom w:val="none" w:sz="0" w:space="0" w:color="auto"/>
        <w:right w:val="none" w:sz="0" w:space="0" w:color="auto"/>
      </w:divBdr>
    </w:div>
    <w:div w:id="990790180">
      <w:marLeft w:val="0"/>
      <w:marRight w:val="0"/>
      <w:marTop w:val="0"/>
      <w:marBottom w:val="0"/>
      <w:divBdr>
        <w:top w:val="none" w:sz="0" w:space="0" w:color="auto"/>
        <w:left w:val="none" w:sz="0" w:space="0" w:color="auto"/>
        <w:bottom w:val="none" w:sz="0" w:space="0" w:color="auto"/>
        <w:right w:val="none" w:sz="0" w:space="0" w:color="auto"/>
      </w:divBdr>
    </w:div>
    <w:div w:id="990790181">
      <w:marLeft w:val="0"/>
      <w:marRight w:val="0"/>
      <w:marTop w:val="0"/>
      <w:marBottom w:val="0"/>
      <w:divBdr>
        <w:top w:val="none" w:sz="0" w:space="0" w:color="auto"/>
        <w:left w:val="none" w:sz="0" w:space="0" w:color="auto"/>
        <w:bottom w:val="none" w:sz="0" w:space="0" w:color="auto"/>
        <w:right w:val="none" w:sz="0" w:space="0" w:color="auto"/>
      </w:divBdr>
    </w:div>
    <w:div w:id="990790182">
      <w:marLeft w:val="0"/>
      <w:marRight w:val="0"/>
      <w:marTop w:val="0"/>
      <w:marBottom w:val="0"/>
      <w:divBdr>
        <w:top w:val="none" w:sz="0" w:space="0" w:color="auto"/>
        <w:left w:val="none" w:sz="0" w:space="0" w:color="auto"/>
        <w:bottom w:val="none" w:sz="0" w:space="0" w:color="auto"/>
        <w:right w:val="none" w:sz="0" w:space="0" w:color="auto"/>
      </w:divBdr>
    </w:div>
    <w:div w:id="990790183">
      <w:marLeft w:val="0"/>
      <w:marRight w:val="0"/>
      <w:marTop w:val="0"/>
      <w:marBottom w:val="0"/>
      <w:divBdr>
        <w:top w:val="none" w:sz="0" w:space="0" w:color="auto"/>
        <w:left w:val="none" w:sz="0" w:space="0" w:color="auto"/>
        <w:bottom w:val="none" w:sz="0" w:space="0" w:color="auto"/>
        <w:right w:val="none" w:sz="0" w:space="0" w:color="auto"/>
      </w:divBdr>
    </w:div>
    <w:div w:id="99079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17</Pages>
  <Words>8840</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ОБЕДИНЕНО  СТАНОВИЩЕ</dc:title>
  <dc:subject/>
  <dc:creator>Anton Ivanov</dc:creator>
  <cp:keywords/>
  <dc:description/>
  <cp:lastModifiedBy>Plamena</cp:lastModifiedBy>
  <cp:revision>5</cp:revision>
  <cp:lastPrinted>2020-03-10T09:28:00Z</cp:lastPrinted>
  <dcterms:created xsi:type="dcterms:W3CDTF">2020-03-10T09:51:00Z</dcterms:created>
  <dcterms:modified xsi:type="dcterms:W3CDTF">2020-03-10T10:04:00Z</dcterms:modified>
</cp:coreProperties>
</file>